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p>
    <w:p>
      <w:pPr>
        <w:jc w:val="center"/>
        <w:rPr>
          <w:rFonts w:ascii="宋体" w:hAnsi="宋体"/>
          <w:b/>
          <w:sz w:val="32"/>
          <w:szCs w:val="32"/>
        </w:rPr>
      </w:pPr>
    </w:p>
    <w:p>
      <w:pPr>
        <w:jc w:val="center"/>
        <w:rPr>
          <w:rFonts w:ascii="宋体" w:hAnsi="宋体"/>
          <w:b/>
          <w:sz w:val="60"/>
          <w:szCs w:val="60"/>
        </w:rPr>
      </w:pPr>
      <w:r>
        <w:rPr>
          <w:rFonts w:hint="eastAsia" w:ascii="宋体" w:hAnsi="宋体"/>
          <w:b/>
          <w:sz w:val="60"/>
          <w:szCs w:val="60"/>
        </w:rPr>
        <w:t>珠海</w:t>
      </w:r>
      <w:r>
        <w:rPr>
          <w:rFonts w:ascii="宋体" w:hAnsi="宋体"/>
          <w:b/>
          <w:sz w:val="60"/>
          <w:szCs w:val="60"/>
        </w:rPr>
        <w:t>汇华实验学校项目</w:t>
      </w:r>
    </w:p>
    <w:p>
      <w:pPr>
        <w:jc w:val="center"/>
        <w:rPr>
          <w:rFonts w:ascii="宋体" w:hAnsi="宋体"/>
          <w:b/>
          <w:sz w:val="60"/>
          <w:szCs w:val="60"/>
        </w:rPr>
      </w:pPr>
    </w:p>
    <w:p>
      <w:pPr>
        <w:jc w:val="center"/>
        <w:rPr>
          <w:rFonts w:ascii="宋体" w:hAnsi="宋体"/>
          <w:b/>
          <w:bCs/>
          <w:sz w:val="60"/>
          <w:szCs w:val="60"/>
        </w:rPr>
      </w:pPr>
      <w:r>
        <w:rPr>
          <w:rFonts w:hint="eastAsia" w:ascii="宋体" w:hAnsi="宋体"/>
          <w:b/>
          <w:bCs/>
          <w:sz w:val="60"/>
          <w:szCs w:val="60"/>
        </w:rPr>
        <w:t>可行性研究报告</w:t>
      </w:r>
    </w:p>
    <w:p>
      <w:pPr>
        <w:jc w:val="center"/>
        <w:rPr>
          <w:rFonts w:ascii="宋体" w:hAnsi="宋体"/>
          <w:b/>
          <w:bCs/>
          <w:sz w:val="22"/>
          <w:szCs w:val="32"/>
        </w:rPr>
      </w:pPr>
    </w:p>
    <w:p>
      <w:pPr>
        <w:tabs>
          <w:tab w:val="left" w:pos="2000"/>
        </w:tabs>
        <w:spacing w:line="360" w:lineRule="auto"/>
        <w:rPr>
          <w:rFonts w:ascii="宋体" w:hAnsi="宋体"/>
          <w:sz w:val="32"/>
          <w:szCs w:val="32"/>
        </w:rPr>
      </w:pPr>
    </w:p>
    <w:p>
      <w:pPr>
        <w:tabs>
          <w:tab w:val="left" w:pos="2000"/>
        </w:tabs>
        <w:spacing w:line="360" w:lineRule="auto"/>
        <w:rPr>
          <w:rFonts w:ascii="宋体" w:hAnsi="宋体"/>
          <w:sz w:val="32"/>
          <w:szCs w:val="32"/>
        </w:rPr>
      </w:pPr>
    </w:p>
    <w:p>
      <w:pPr>
        <w:tabs>
          <w:tab w:val="left" w:pos="2000"/>
        </w:tabs>
        <w:spacing w:line="360" w:lineRule="auto"/>
        <w:rPr>
          <w:rFonts w:ascii="宋体" w:hAnsi="宋体"/>
          <w:sz w:val="32"/>
          <w:szCs w:val="32"/>
        </w:rPr>
      </w:pPr>
    </w:p>
    <w:p>
      <w:pPr>
        <w:tabs>
          <w:tab w:val="left" w:pos="2000"/>
        </w:tabs>
        <w:spacing w:line="360" w:lineRule="auto"/>
        <w:rPr>
          <w:rFonts w:ascii="宋体" w:hAnsi="宋体"/>
          <w:sz w:val="32"/>
          <w:szCs w:val="32"/>
        </w:rPr>
      </w:pPr>
    </w:p>
    <w:p>
      <w:pPr>
        <w:tabs>
          <w:tab w:val="left" w:pos="3420"/>
        </w:tabs>
        <w:jc w:val="center"/>
        <w:rPr>
          <w:rFonts w:ascii="宋体" w:hAnsi="宋体"/>
          <w:sz w:val="30"/>
          <w:szCs w:val="30"/>
        </w:rPr>
      </w:pPr>
      <w:r>
        <w:rPr>
          <w:rFonts w:hint="eastAsia" w:ascii="宋体" w:hAnsi="宋体"/>
          <w:sz w:val="30"/>
          <w:szCs w:val="30"/>
        </w:rPr>
        <w:t>工程咨询资格证书号：工咨丙12420130003</w:t>
      </w:r>
    </w:p>
    <w:p>
      <w:pPr>
        <w:tabs>
          <w:tab w:val="left" w:pos="3420"/>
        </w:tabs>
        <w:jc w:val="center"/>
        <w:rPr>
          <w:rFonts w:ascii="宋体" w:hAnsi="宋体"/>
          <w:sz w:val="30"/>
          <w:szCs w:val="30"/>
        </w:rPr>
      </w:pPr>
      <w:r>
        <w:rPr>
          <w:rFonts w:hint="eastAsia" w:ascii="宋体" w:hAnsi="宋体"/>
          <w:sz w:val="30"/>
          <w:szCs w:val="30"/>
        </w:rPr>
        <w:t>委托部门：珠海汇华基础设施投资有限公司</w:t>
      </w:r>
    </w:p>
    <w:p>
      <w:pPr>
        <w:tabs>
          <w:tab w:val="left" w:pos="3420"/>
        </w:tabs>
        <w:jc w:val="center"/>
        <w:rPr>
          <w:rFonts w:ascii="宋体" w:hAnsi="宋体"/>
          <w:sz w:val="30"/>
          <w:szCs w:val="30"/>
        </w:rPr>
      </w:pPr>
    </w:p>
    <w:p>
      <w:pPr>
        <w:tabs>
          <w:tab w:val="left" w:pos="2195"/>
          <w:tab w:val="left" w:pos="3420"/>
        </w:tabs>
        <w:rPr>
          <w:rFonts w:ascii="宋体" w:hAnsi="宋体"/>
          <w:sz w:val="32"/>
          <w:szCs w:val="32"/>
        </w:rPr>
      </w:pPr>
    </w:p>
    <w:p>
      <w:pPr>
        <w:tabs>
          <w:tab w:val="left" w:pos="2195"/>
          <w:tab w:val="left" w:pos="3420"/>
        </w:tabs>
        <w:rPr>
          <w:rFonts w:ascii="宋体" w:hAnsi="宋体"/>
          <w:sz w:val="32"/>
          <w:szCs w:val="32"/>
        </w:rPr>
      </w:pPr>
    </w:p>
    <w:p>
      <w:pPr>
        <w:tabs>
          <w:tab w:val="left" w:pos="2195"/>
          <w:tab w:val="left" w:pos="3420"/>
        </w:tabs>
        <w:rPr>
          <w:rFonts w:ascii="宋体" w:hAnsi="宋体"/>
          <w:sz w:val="32"/>
          <w:szCs w:val="32"/>
        </w:rPr>
      </w:pPr>
    </w:p>
    <w:p>
      <w:pPr>
        <w:tabs>
          <w:tab w:val="left" w:pos="2195"/>
          <w:tab w:val="left" w:pos="3420"/>
        </w:tabs>
        <w:rPr>
          <w:rFonts w:ascii="宋体" w:hAnsi="宋体"/>
          <w:sz w:val="32"/>
          <w:szCs w:val="32"/>
        </w:rPr>
      </w:pPr>
    </w:p>
    <w:p>
      <w:pPr>
        <w:tabs>
          <w:tab w:val="left" w:pos="2195"/>
          <w:tab w:val="left" w:pos="3420"/>
        </w:tabs>
        <w:rPr>
          <w:rFonts w:ascii="宋体" w:hAnsi="宋体"/>
          <w:sz w:val="32"/>
          <w:szCs w:val="32"/>
        </w:rPr>
      </w:pPr>
    </w:p>
    <w:p>
      <w:pPr>
        <w:spacing w:line="360" w:lineRule="auto"/>
        <w:jc w:val="center"/>
        <w:rPr>
          <w:rFonts w:ascii="宋体" w:hAnsi="宋体" w:cs="宋体"/>
          <w:b/>
          <w:bCs/>
          <w:kern w:val="0"/>
          <w:sz w:val="32"/>
        </w:rPr>
      </w:pPr>
      <w:r>
        <w:rPr>
          <w:rFonts w:hint="eastAsia" w:ascii="宋体" w:hAnsi="宋体" w:cs="宋体"/>
          <w:b/>
          <w:bCs/>
          <w:kern w:val="0"/>
          <w:sz w:val="32"/>
        </w:rPr>
        <w:t>深圳市普利工程咨询有限公司</w:t>
      </w:r>
    </w:p>
    <w:p>
      <w:pPr>
        <w:spacing w:line="360" w:lineRule="auto"/>
        <w:jc w:val="center"/>
      </w:pPr>
      <w:r>
        <w:rPr>
          <w:rFonts w:hint="eastAsia" w:ascii="宋体" w:hAnsi="宋体" w:cs="宋体"/>
          <w:b/>
          <w:bCs/>
          <w:kern w:val="0"/>
          <w:sz w:val="32"/>
        </w:rPr>
        <w:t>二零一八年四月</w:t>
      </w:r>
    </w:p>
    <w:p>
      <w:pPr>
        <w:tabs>
          <w:tab w:val="left" w:pos="3420"/>
        </w:tabs>
        <w:rPr>
          <w:rFonts w:ascii="宋体" w:hAnsi="宋体"/>
          <w:sz w:val="24"/>
        </w:rPr>
      </w:pPr>
    </w:p>
    <w:p>
      <w:pPr>
        <w:tabs>
          <w:tab w:val="left" w:pos="2195"/>
          <w:tab w:val="left" w:pos="3420"/>
        </w:tabs>
        <w:rPr>
          <w:rFonts w:ascii="宋体" w:hAnsi="宋体"/>
          <w:sz w:val="30"/>
          <w:szCs w:val="30"/>
        </w:rPr>
      </w:pPr>
    </w:p>
    <w:p>
      <w:pPr>
        <w:tabs>
          <w:tab w:val="left" w:pos="2195"/>
          <w:tab w:val="left" w:pos="3420"/>
        </w:tabs>
        <w:rPr>
          <w:rFonts w:ascii="宋体" w:hAnsi="宋体"/>
          <w:sz w:val="30"/>
          <w:szCs w:val="30"/>
        </w:rPr>
      </w:pPr>
      <w:r>
        <w:rPr>
          <w:rFonts w:ascii="宋体" w:hAnsi="宋体"/>
          <w:sz w:val="30"/>
          <w:szCs w:val="30"/>
        </w:rPr>
        <w:drawing>
          <wp:anchor distT="0" distB="0" distL="114300" distR="114300" simplePos="0" relativeHeight="251711488" behindDoc="0" locked="0" layoutInCell="1" allowOverlap="1">
            <wp:simplePos x="0" y="0"/>
            <wp:positionH relativeFrom="margin">
              <wp:align>center</wp:align>
            </wp:positionH>
            <wp:positionV relativeFrom="margin">
              <wp:align>center</wp:align>
            </wp:positionV>
            <wp:extent cx="6037580" cy="8775700"/>
            <wp:effectExtent l="19050" t="0" r="1484" b="0"/>
            <wp:wrapSquare wrapText="bothSides"/>
            <wp:docPr id="14" name="图片 5" descr="C:\Users\Administrator\Desktop\TIM图片2018060516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Desktop\TIM图片20180605165936.png"/>
                    <pic:cNvPicPr>
                      <a:picLocks noChangeAspect="1" noChangeArrowheads="1"/>
                    </pic:cNvPicPr>
                  </pic:nvPicPr>
                  <pic:blipFill>
                    <a:blip r:embed="rId5"/>
                    <a:srcRect/>
                    <a:stretch>
                      <a:fillRect/>
                    </a:stretch>
                  </pic:blipFill>
                  <pic:spPr>
                    <a:xfrm>
                      <a:off x="0" y="0"/>
                      <a:ext cx="6037366" cy="8775865"/>
                    </a:xfrm>
                    <a:prstGeom prst="rect">
                      <a:avLst/>
                    </a:prstGeom>
                    <a:noFill/>
                    <a:ln w="9525">
                      <a:noFill/>
                      <a:miter lim="800000"/>
                      <a:headEnd/>
                      <a:tailEnd/>
                    </a:ln>
                  </pic:spPr>
                </pic:pic>
              </a:graphicData>
            </a:graphic>
          </wp:anchor>
        </w:drawing>
      </w:r>
    </w:p>
    <w:p>
      <w:pPr>
        <w:tabs>
          <w:tab w:val="left" w:pos="2195"/>
          <w:tab w:val="left" w:pos="3420"/>
        </w:tabs>
        <w:rPr>
          <w:rFonts w:ascii="宋体" w:hAnsi="宋体"/>
          <w:sz w:val="30"/>
          <w:szCs w:val="30"/>
        </w:rPr>
      </w:pPr>
      <w:r>
        <w:rPr>
          <w:rFonts w:ascii="宋体" w:hAnsi="宋体"/>
          <w:sz w:val="30"/>
          <w:szCs w:val="30"/>
        </w:rPr>
        <w:drawing>
          <wp:anchor distT="0" distB="0" distL="114300" distR="114300" simplePos="0" relativeHeight="251712512" behindDoc="0" locked="0" layoutInCell="1" allowOverlap="1">
            <wp:simplePos x="0" y="0"/>
            <wp:positionH relativeFrom="margin">
              <wp:align>center</wp:align>
            </wp:positionH>
            <wp:positionV relativeFrom="margin">
              <wp:align>center</wp:align>
            </wp:positionV>
            <wp:extent cx="8692515" cy="6005830"/>
            <wp:effectExtent l="0" t="1352550" r="0" b="1328197"/>
            <wp:wrapSquare wrapText="bothSides"/>
            <wp:docPr id="15" name="图片 6" descr="C:\Users\Administrator\Desktop\TIM图片2018060516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strator\Desktop\TIM图片20180605165941.jpg"/>
                    <pic:cNvPicPr>
                      <a:picLocks noChangeAspect="1" noChangeArrowheads="1"/>
                    </pic:cNvPicPr>
                  </pic:nvPicPr>
                  <pic:blipFill>
                    <a:blip r:embed="rId6"/>
                    <a:srcRect/>
                    <a:stretch>
                      <a:fillRect/>
                    </a:stretch>
                  </pic:blipFill>
                  <pic:spPr>
                    <a:xfrm rot="5400000">
                      <a:off x="0" y="0"/>
                      <a:ext cx="8692738" cy="6006053"/>
                    </a:xfrm>
                    <a:prstGeom prst="rect">
                      <a:avLst/>
                    </a:prstGeom>
                    <a:noFill/>
                    <a:ln w="9525">
                      <a:noFill/>
                      <a:miter lim="800000"/>
                      <a:headEnd/>
                      <a:tailEnd/>
                    </a:ln>
                  </pic:spPr>
                </pic:pic>
              </a:graphicData>
            </a:graphic>
          </wp:anchor>
        </w:drawing>
      </w:r>
    </w:p>
    <w:p>
      <w:pPr>
        <w:tabs>
          <w:tab w:val="left" w:pos="2195"/>
          <w:tab w:val="left" w:pos="3420"/>
        </w:tabs>
        <w:rPr>
          <w:rFonts w:ascii="宋体" w:hAnsi="宋体"/>
          <w:sz w:val="30"/>
          <w:szCs w:val="30"/>
        </w:rPr>
      </w:pPr>
      <w:r>
        <w:rPr>
          <w:rFonts w:hint="eastAsia" w:ascii="宋体" w:hAnsi="宋体"/>
          <w:sz w:val="30"/>
          <w:szCs w:val="30"/>
        </w:rPr>
        <w:t>建 设 单 位 名 称：珠海汇华实验学校</w:t>
      </w:r>
    </w:p>
    <w:p>
      <w:pPr>
        <w:tabs>
          <w:tab w:val="left" w:pos="2195"/>
          <w:tab w:val="left" w:pos="3420"/>
        </w:tabs>
        <w:rPr>
          <w:rFonts w:ascii="宋体" w:hAnsi="宋体"/>
          <w:sz w:val="30"/>
          <w:szCs w:val="30"/>
        </w:rPr>
      </w:pPr>
      <w:r>
        <w:rPr>
          <w:rFonts w:hint="eastAsia" w:ascii="宋体" w:hAnsi="宋体"/>
          <w:sz w:val="30"/>
          <w:szCs w:val="30"/>
        </w:rPr>
        <w:t>编 制 单 位 名 称：深圳市普利工程咨询有限公司</w:t>
      </w:r>
    </w:p>
    <w:p>
      <w:pPr>
        <w:tabs>
          <w:tab w:val="left" w:pos="3420"/>
        </w:tabs>
        <w:rPr>
          <w:rFonts w:ascii="宋体" w:hAnsi="宋体"/>
          <w:sz w:val="30"/>
          <w:szCs w:val="30"/>
        </w:rPr>
      </w:pPr>
      <w:r>
        <w:rPr>
          <w:rFonts w:hint="eastAsia" w:ascii="宋体" w:hAnsi="宋体"/>
          <w:sz w:val="30"/>
          <w:szCs w:val="30"/>
        </w:rPr>
        <w:t>工 程 咨 询 证 书 编 号：工咨丙12420130003</w:t>
      </w:r>
    </w:p>
    <w:p>
      <w:pPr>
        <w:tabs>
          <w:tab w:val="left" w:pos="3420"/>
        </w:tabs>
        <w:rPr>
          <w:rFonts w:ascii="宋体" w:hAnsi="宋体"/>
          <w:sz w:val="32"/>
          <w:szCs w:val="32"/>
        </w:rPr>
      </w:pPr>
    </w:p>
    <w:p>
      <w:pPr>
        <w:tabs>
          <w:tab w:val="left" w:pos="3420"/>
        </w:tabs>
        <w:rPr>
          <w:rFonts w:ascii="宋体" w:hAnsi="宋体"/>
          <w:sz w:val="32"/>
          <w:szCs w:val="32"/>
        </w:rPr>
      </w:pPr>
    </w:p>
    <w:p>
      <w:pPr>
        <w:tabs>
          <w:tab w:val="left" w:pos="3420"/>
        </w:tabs>
        <w:rPr>
          <w:rFonts w:ascii="宋体" w:hAnsi="宋体"/>
          <w:sz w:val="44"/>
          <w:szCs w:val="44"/>
        </w:rPr>
      </w:pPr>
      <w:r>
        <w:rPr>
          <w:rFonts w:hint="eastAsia" w:ascii="宋体" w:hAnsi="宋体"/>
          <w:sz w:val="44"/>
          <w:szCs w:val="44"/>
        </w:rPr>
        <w:t>法 定 代 表 人          吴日升</w:t>
      </w:r>
    </w:p>
    <w:p>
      <w:pPr>
        <w:tabs>
          <w:tab w:val="left" w:pos="3420"/>
        </w:tabs>
        <w:rPr>
          <w:rFonts w:ascii="宋体" w:hAnsi="宋体"/>
          <w:sz w:val="44"/>
          <w:szCs w:val="44"/>
        </w:rPr>
      </w:pPr>
    </w:p>
    <w:p>
      <w:pPr>
        <w:tabs>
          <w:tab w:val="left" w:pos="3420"/>
        </w:tabs>
        <w:rPr>
          <w:rFonts w:ascii="宋体" w:hAnsi="宋体"/>
          <w:sz w:val="44"/>
          <w:szCs w:val="44"/>
        </w:rPr>
      </w:pPr>
    </w:p>
    <w:p>
      <w:pPr>
        <w:tabs>
          <w:tab w:val="left" w:pos="3420"/>
        </w:tabs>
        <w:rPr>
          <w:rFonts w:ascii="宋体" w:hAnsi="宋体"/>
          <w:sz w:val="44"/>
          <w:szCs w:val="44"/>
        </w:rPr>
      </w:pPr>
      <w:r>
        <w:rPr>
          <w:rFonts w:hint="eastAsia" w:ascii="宋体" w:hAnsi="宋体"/>
          <w:sz w:val="44"/>
          <w:szCs w:val="44"/>
        </w:rPr>
        <w:t>技 术 负 责 人          吴日升</w:t>
      </w:r>
    </w:p>
    <w:p>
      <w:pPr>
        <w:tabs>
          <w:tab w:val="left" w:pos="3420"/>
        </w:tabs>
        <w:rPr>
          <w:rFonts w:ascii="宋体" w:hAnsi="宋体"/>
          <w:sz w:val="44"/>
          <w:szCs w:val="44"/>
        </w:rPr>
      </w:pPr>
    </w:p>
    <w:p>
      <w:pPr>
        <w:tabs>
          <w:tab w:val="left" w:pos="3420"/>
        </w:tabs>
        <w:rPr>
          <w:rFonts w:ascii="宋体" w:hAnsi="宋体"/>
          <w:sz w:val="44"/>
          <w:szCs w:val="44"/>
        </w:rPr>
      </w:pPr>
    </w:p>
    <w:p>
      <w:pPr>
        <w:tabs>
          <w:tab w:val="left" w:pos="3420"/>
        </w:tabs>
        <w:rPr>
          <w:rFonts w:ascii="宋体" w:hAnsi="宋体"/>
          <w:sz w:val="32"/>
          <w:szCs w:val="32"/>
        </w:rPr>
      </w:pPr>
    </w:p>
    <w:p>
      <w:pPr>
        <w:tabs>
          <w:tab w:val="left" w:pos="3420"/>
        </w:tabs>
        <w:rPr>
          <w:rFonts w:ascii="宋体" w:hAnsi="宋体"/>
          <w:sz w:val="32"/>
          <w:szCs w:val="32"/>
        </w:rPr>
      </w:pPr>
    </w:p>
    <w:p>
      <w:pPr>
        <w:spacing w:line="239" w:lineRule="auto"/>
        <w:ind w:left="2940"/>
        <w:jc w:val="left"/>
        <w:rPr>
          <w:rFonts w:ascii="宋体" w:hAnsi="宋体"/>
          <w:b/>
          <w:sz w:val="30"/>
        </w:rPr>
      </w:pPr>
      <w:r>
        <w:rPr>
          <w:rFonts w:hint="eastAsia" w:ascii="宋体" w:hAnsi="宋体"/>
          <w:b/>
          <w:sz w:val="30"/>
        </w:rPr>
        <w:t>项目参与人员表</w:t>
      </w:r>
    </w:p>
    <w:tbl>
      <w:tblPr>
        <w:tblStyle w:val="20"/>
        <w:tblW w:w="84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08"/>
        <w:gridCol w:w="42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1" w:hRule="atLeast"/>
        </w:trPr>
        <w:tc>
          <w:tcPr>
            <w:tcW w:w="4208" w:type="dxa"/>
            <w:vAlign w:val="center"/>
          </w:tcPr>
          <w:p>
            <w:pPr>
              <w:spacing w:line="239" w:lineRule="auto"/>
              <w:jc w:val="center"/>
              <w:rPr>
                <w:rFonts w:ascii="宋体" w:hAnsi="宋体"/>
                <w:b/>
                <w:sz w:val="30"/>
              </w:rPr>
            </w:pPr>
            <w:r>
              <w:rPr>
                <w:rFonts w:hint="eastAsia" w:ascii="宋体" w:hAnsi="宋体"/>
                <w:w w:val="99"/>
                <w:sz w:val="30"/>
              </w:rPr>
              <w:t>审定</w:t>
            </w:r>
          </w:p>
        </w:tc>
        <w:tc>
          <w:tcPr>
            <w:tcW w:w="4208" w:type="dxa"/>
            <w:vAlign w:val="center"/>
          </w:tcPr>
          <w:p>
            <w:pPr>
              <w:spacing w:line="239" w:lineRule="auto"/>
              <w:jc w:val="center"/>
              <w:rPr>
                <w:rFonts w:ascii="宋体" w:hAnsi="宋体"/>
                <w:b/>
                <w:sz w:val="30"/>
              </w:rPr>
            </w:pPr>
            <w:r>
              <w:rPr>
                <w:rFonts w:hint="eastAsia" w:ascii="宋体" w:hAnsi="宋体"/>
                <w:b/>
                <w:color w:val="000000"/>
                <w:sz w:val="36"/>
                <w:szCs w:val="36"/>
              </w:rPr>
              <w:t>郝敏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607" w:hRule="atLeast"/>
        </w:trPr>
        <w:tc>
          <w:tcPr>
            <w:tcW w:w="4208" w:type="dxa"/>
            <w:vMerge w:val="restart"/>
            <w:vAlign w:val="center"/>
          </w:tcPr>
          <w:p>
            <w:pPr>
              <w:spacing w:line="239" w:lineRule="auto"/>
              <w:jc w:val="center"/>
              <w:rPr>
                <w:rFonts w:ascii="宋体" w:hAnsi="宋体"/>
                <w:b/>
                <w:sz w:val="30"/>
              </w:rPr>
            </w:pPr>
            <w:r>
              <w:rPr>
                <w:rFonts w:hint="eastAsia" w:ascii="宋体" w:hAnsi="宋体"/>
                <w:w w:val="99"/>
                <w:sz w:val="30"/>
              </w:rPr>
              <w:t>编制人员</w:t>
            </w:r>
          </w:p>
        </w:tc>
        <w:tc>
          <w:tcPr>
            <w:tcW w:w="4208" w:type="dxa"/>
            <w:vAlign w:val="center"/>
          </w:tcPr>
          <w:p>
            <w:pPr>
              <w:spacing w:line="239" w:lineRule="auto"/>
              <w:jc w:val="center"/>
              <w:rPr>
                <w:rFonts w:ascii="宋体" w:hAnsi="宋体"/>
                <w:b/>
                <w:sz w:val="30"/>
              </w:rPr>
            </w:pPr>
            <w:r>
              <w:rPr>
                <w:rFonts w:hint="eastAsia" w:ascii="宋体" w:hAnsi="宋体"/>
                <w:b/>
                <w:sz w:val="30"/>
              </w:rPr>
              <w:t>吴鸿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83" w:hRule="atLeast"/>
        </w:trPr>
        <w:tc>
          <w:tcPr>
            <w:tcW w:w="4208" w:type="dxa"/>
            <w:vMerge w:val="continue"/>
          </w:tcPr>
          <w:p>
            <w:pPr>
              <w:spacing w:line="239" w:lineRule="auto"/>
              <w:jc w:val="left"/>
              <w:rPr>
                <w:rFonts w:ascii="宋体" w:hAnsi="宋体"/>
                <w:b/>
                <w:sz w:val="30"/>
              </w:rPr>
            </w:pPr>
          </w:p>
        </w:tc>
        <w:tc>
          <w:tcPr>
            <w:tcW w:w="4208" w:type="dxa"/>
            <w:vAlign w:val="center"/>
          </w:tcPr>
          <w:p>
            <w:pPr>
              <w:spacing w:line="239" w:lineRule="auto"/>
              <w:jc w:val="center"/>
              <w:rPr>
                <w:rFonts w:ascii="宋体" w:hAnsi="宋体"/>
                <w:b/>
                <w:sz w:val="30"/>
              </w:rPr>
            </w:pPr>
            <w:r>
              <w:rPr>
                <w:rFonts w:hint="eastAsia" w:ascii="宋体" w:hAnsi="宋体"/>
                <w:b/>
                <w:sz w:val="30"/>
              </w:rPr>
              <w:t>张婷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05" w:hRule="atLeast"/>
        </w:trPr>
        <w:tc>
          <w:tcPr>
            <w:tcW w:w="4208" w:type="dxa"/>
            <w:vMerge w:val="continue"/>
          </w:tcPr>
          <w:p>
            <w:pPr>
              <w:spacing w:line="239" w:lineRule="auto"/>
              <w:jc w:val="left"/>
              <w:rPr>
                <w:rFonts w:ascii="宋体" w:hAnsi="宋体"/>
                <w:b/>
                <w:sz w:val="30"/>
              </w:rPr>
            </w:pPr>
          </w:p>
        </w:tc>
        <w:tc>
          <w:tcPr>
            <w:tcW w:w="4208" w:type="dxa"/>
            <w:vAlign w:val="center"/>
          </w:tcPr>
          <w:p>
            <w:pPr>
              <w:spacing w:line="239" w:lineRule="auto"/>
              <w:jc w:val="center"/>
              <w:rPr>
                <w:rFonts w:ascii="宋体" w:hAnsi="宋体"/>
                <w:b/>
                <w:sz w:val="30"/>
              </w:rPr>
            </w:pPr>
            <w:r>
              <w:rPr>
                <w:rFonts w:hint="eastAsia" w:ascii="宋体" w:hAnsi="宋体"/>
                <w:b/>
                <w:sz w:val="30"/>
              </w:rPr>
              <w:t>王志辉</w:t>
            </w:r>
          </w:p>
        </w:tc>
      </w:tr>
    </w:tbl>
    <w:p>
      <w:pPr>
        <w:tabs>
          <w:tab w:val="left" w:pos="3420"/>
        </w:tabs>
        <w:rPr>
          <w:rFonts w:ascii="宋体" w:hAnsi="宋体"/>
          <w:sz w:val="32"/>
          <w:szCs w:val="32"/>
        </w:rPr>
      </w:pPr>
    </w:p>
    <w:p>
      <w:pPr>
        <w:tabs>
          <w:tab w:val="left" w:pos="3420"/>
        </w:tabs>
        <w:rPr>
          <w:rFonts w:ascii="宋体" w:hAnsi="宋体"/>
          <w:sz w:val="32"/>
          <w:szCs w:val="32"/>
        </w:rPr>
      </w:pPr>
    </w:p>
    <w:p>
      <w:pPr>
        <w:tabs>
          <w:tab w:val="left" w:pos="3420"/>
        </w:tabs>
        <w:rPr>
          <w:rFonts w:ascii="宋体" w:hAnsi="宋体"/>
          <w:sz w:val="32"/>
          <w:szCs w:val="32"/>
        </w:rPr>
      </w:pPr>
    </w:p>
    <w:p>
      <w:pPr>
        <w:tabs>
          <w:tab w:val="left" w:pos="3420"/>
        </w:tabs>
        <w:rPr>
          <w:rFonts w:ascii="宋体" w:hAnsi="宋体"/>
          <w:sz w:val="32"/>
          <w:szCs w:val="32"/>
        </w:rPr>
      </w:pPr>
    </w:p>
    <w:p>
      <w:pPr>
        <w:jc w:val="center"/>
        <w:rPr>
          <w:rFonts w:asciiTheme="minorEastAsia" w:hAnsiTheme="minorEastAsia"/>
          <w:b/>
          <w:sz w:val="44"/>
          <w:szCs w:val="44"/>
        </w:rPr>
      </w:pPr>
      <w:r>
        <w:rPr>
          <w:rFonts w:hint="eastAsia" w:asciiTheme="minorEastAsia" w:hAnsiTheme="minorEastAsia"/>
          <w:b/>
          <w:sz w:val="44"/>
          <w:szCs w:val="44"/>
        </w:rPr>
        <w:t>目录</w:t>
      </w:r>
    </w:p>
    <w:p>
      <w:pPr>
        <w:jc w:val="center"/>
        <w:rPr>
          <w:rFonts w:asciiTheme="minorEastAsia" w:hAnsiTheme="minorEastAsia"/>
          <w:b/>
          <w:sz w:val="44"/>
          <w:szCs w:val="44"/>
        </w:rPr>
      </w:pPr>
    </w:p>
    <w:p>
      <w:pPr>
        <w:pStyle w:val="13"/>
        <w:tabs>
          <w:tab w:val="right" w:leader="dot" w:pos="9018"/>
        </w:tabs>
        <w:rPr>
          <w:rFonts w:asciiTheme="minorHAnsi" w:hAnsiTheme="minorHAnsi" w:eastAsiaTheme="minorEastAsia" w:cstheme="minorBidi"/>
          <w:szCs w:val="22"/>
        </w:rPr>
      </w:pPr>
      <w:r>
        <w:rPr>
          <w:rFonts w:ascii="宋体" w:hAnsi="宋体"/>
          <w:b/>
          <w:sz w:val="40"/>
          <w:szCs w:val="44"/>
        </w:rPr>
        <w:fldChar w:fldCharType="begin"/>
      </w:r>
      <w:r>
        <w:rPr>
          <w:rFonts w:ascii="宋体" w:hAnsi="宋体"/>
          <w:b/>
          <w:sz w:val="40"/>
          <w:szCs w:val="44"/>
        </w:rPr>
        <w:instrText xml:space="preserve"> TOC \o "1-3" \h \z \u </w:instrText>
      </w:r>
      <w:r>
        <w:rPr>
          <w:rFonts w:ascii="宋体" w:hAnsi="宋体"/>
          <w:b/>
          <w:sz w:val="40"/>
          <w:szCs w:val="44"/>
        </w:rPr>
        <w:fldChar w:fldCharType="separate"/>
      </w:r>
      <w:r>
        <w:fldChar w:fldCharType="begin"/>
      </w:r>
      <w:r>
        <w:instrText xml:space="preserve"> HYPERLINK \l "_Toc515980375" </w:instrText>
      </w:r>
      <w:r>
        <w:fldChar w:fldCharType="separate"/>
      </w:r>
      <w:r>
        <w:rPr>
          <w:rStyle w:val="18"/>
          <w:rFonts w:hint="eastAsia" w:ascii="宋体" w:hAnsi="宋体"/>
          <w:b/>
          <w:sz w:val="28"/>
          <w:szCs w:val="28"/>
        </w:rPr>
        <w:t>第一章</w:t>
      </w:r>
      <w:r>
        <w:rPr>
          <w:rStyle w:val="18"/>
          <w:rFonts w:ascii="宋体" w:hAnsi="宋体"/>
          <w:b/>
          <w:sz w:val="28"/>
          <w:szCs w:val="28"/>
        </w:rPr>
        <w:t xml:space="preserve">  </w:t>
      </w:r>
      <w:r>
        <w:rPr>
          <w:rStyle w:val="18"/>
          <w:rFonts w:hint="eastAsia" w:ascii="宋体" w:hAnsi="宋体"/>
          <w:b/>
          <w:sz w:val="28"/>
          <w:szCs w:val="28"/>
        </w:rPr>
        <w:t>概</w:t>
      </w:r>
      <w:r>
        <w:rPr>
          <w:rStyle w:val="18"/>
          <w:rFonts w:ascii="宋体" w:hAnsi="宋体"/>
          <w:b/>
          <w:sz w:val="28"/>
          <w:szCs w:val="28"/>
        </w:rPr>
        <w:t xml:space="preserve">  </w:t>
      </w:r>
      <w:r>
        <w:rPr>
          <w:rStyle w:val="18"/>
          <w:rFonts w:hint="eastAsia" w:ascii="宋体" w:hAnsi="宋体"/>
          <w:b/>
          <w:sz w:val="28"/>
          <w:szCs w:val="28"/>
        </w:rPr>
        <w:t>述</w:t>
      </w:r>
      <w:r>
        <w:tab/>
      </w:r>
      <w:r>
        <w:fldChar w:fldCharType="begin"/>
      </w:r>
      <w:r>
        <w:instrText xml:space="preserve"> PAGEREF _Toc515980375 \h </w:instrText>
      </w:r>
      <w:r>
        <w:fldChar w:fldCharType="separate"/>
      </w:r>
      <w:r>
        <w:t>8</w:t>
      </w:r>
      <w:r>
        <w:fldChar w:fldCharType="end"/>
      </w:r>
      <w:r>
        <w:fldChar w:fldCharType="end"/>
      </w:r>
    </w:p>
    <w:p>
      <w:pPr>
        <w:pStyle w:val="14"/>
        <w:tabs>
          <w:tab w:val="right" w:leader="dot" w:pos="9018"/>
        </w:tabs>
        <w:rPr>
          <w:kern w:val="2"/>
          <w:sz w:val="21"/>
        </w:rPr>
      </w:pPr>
      <w:r>
        <w:fldChar w:fldCharType="begin"/>
      </w:r>
      <w:r>
        <w:instrText xml:space="preserve"> HYPERLINK \l "_Toc515980376" </w:instrText>
      </w:r>
      <w:r>
        <w:fldChar w:fldCharType="separate"/>
      </w:r>
      <w:r>
        <w:rPr>
          <w:rStyle w:val="18"/>
        </w:rPr>
        <w:t xml:space="preserve">1.1  </w:t>
      </w:r>
      <w:r>
        <w:rPr>
          <w:rStyle w:val="18"/>
          <w:rFonts w:hint="eastAsia"/>
        </w:rPr>
        <w:t>项目名称及概况</w:t>
      </w:r>
      <w:r>
        <w:tab/>
      </w:r>
      <w:r>
        <w:fldChar w:fldCharType="begin"/>
      </w:r>
      <w:r>
        <w:instrText xml:space="preserve"> PAGEREF _Toc515980376 \h </w:instrText>
      </w:r>
      <w:r>
        <w:fldChar w:fldCharType="separate"/>
      </w:r>
      <w:r>
        <w:t>8</w:t>
      </w:r>
      <w:r>
        <w:fldChar w:fldCharType="end"/>
      </w:r>
      <w:r>
        <w:fldChar w:fldCharType="end"/>
      </w:r>
    </w:p>
    <w:p>
      <w:pPr>
        <w:pStyle w:val="14"/>
        <w:tabs>
          <w:tab w:val="right" w:leader="dot" w:pos="9018"/>
        </w:tabs>
        <w:rPr>
          <w:kern w:val="2"/>
          <w:sz w:val="21"/>
        </w:rPr>
      </w:pPr>
      <w:r>
        <w:fldChar w:fldCharType="begin"/>
      </w:r>
      <w:r>
        <w:instrText xml:space="preserve"> HYPERLINK \l "_Toc515980377" </w:instrText>
      </w:r>
      <w:r>
        <w:fldChar w:fldCharType="separate"/>
      </w:r>
      <w:r>
        <w:rPr>
          <w:rStyle w:val="18"/>
        </w:rPr>
        <w:t xml:space="preserve">1.2  </w:t>
      </w:r>
      <w:r>
        <w:rPr>
          <w:rStyle w:val="18"/>
          <w:rFonts w:hint="eastAsia"/>
        </w:rPr>
        <w:t>项目背景</w:t>
      </w:r>
      <w:r>
        <w:tab/>
      </w:r>
      <w:r>
        <w:fldChar w:fldCharType="begin"/>
      </w:r>
      <w:r>
        <w:instrText xml:space="preserve"> PAGEREF _Toc515980377 \h </w:instrText>
      </w:r>
      <w:r>
        <w:fldChar w:fldCharType="separate"/>
      </w:r>
      <w:r>
        <w:t>9</w:t>
      </w:r>
      <w:r>
        <w:fldChar w:fldCharType="end"/>
      </w:r>
      <w:r>
        <w:fldChar w:fldCharType="end"/>
      </w:r>
    </w:p>
    <w:p>
      <w:pPr>
        <w:pStyle w:val="14"/>
        <w:tabs>
          <w:tab w:val="right" w:leader="dot" w:pos="9018"/>
        </w:tabs>
        <w:rPr>
          <w:kern w:val="2"/>
          <w:sz w:val="21"/>
        </w:rPr>
      </w:pPr>
      <w:r>
        <w:fldChar w:fldCharType="begin"/>
      </w:r>
      <w:r>
        <w:instrText xml:space="preserve"> HYPERLINK \l "_Toc515980378" </w:instrText>
      </w:r>
      <w:r>
        <w:fldChar w:fldCharType="separate"/>
      </w:r>
      <w:r>
        <w:rPr>
          <w:rStyle w:val="18"/>
        </w:rPr>
        <w:t xml:space="preserve">1.3  </w:t>
      </w:r>
      <w:r>
        <w:rPr>
          <w:rStyle w:val="18"/>
          <w:rFonts w:hint="eastAsia"/>
        </w:rPr>
        <w:t>报告编制依据</w:t>
      </w:r>
      <w:r>
        <w:tab/>
      </w:r>
      <w:r>
        <w:fldChar w:fldCharType="begin"/>
      </w:r>
      <w:r>
        <w:instrText xml:space="preserve"> PAGEREF _Toc515980378 \h </w:instrText>
      </w:r>
      <w:r>
        <w:fldChar w:fldCharType="separate"/>
      </w:r>
      <w:r>
        <w:t>9</w:t>
      </w:r>
      <w:r>
        <w:fldChar w:fldCharType="end"/>
      </w:r>
      <w:r>
        <w:fldChar w:fldCharType="end"/>
      </w:r>
    </w:p>
    <w:p>
      <w:pPr>
        <w:pStyle w:val="14"/>
        <w:tabs>
          <w:tab w:val="right" w:leader="dot" w:pos="9018"/>
        </w:tabs>
        <w:rPr>
          <w:kern w:val="2"/>
          <w:sz w:val="21"/>
        </w:rPr>
      </w:pPr>
      <w:r>
        <w:fldChar w:fldCharType="begin"/>
      </w:r>
      <w:r>
        <w:instrText xml:space="preserve"> HYPERLINK \l "_Toc515980379" </w:instrText>
      </w:r>
      <w:r>
        <w:fldChar w:fldCharType="separate"/>
      </w:r>
      <w:r>
        <w:rPr>
          <w:rStyle w:val="18"/>
        </w:rPr>
        <w:t xml:space="preserve">1.4  </w:t>
      </w:r>
      <w:r>
        <w:rPr>
          <w:rStyle w:val="18"/>
          <w:rFonts w:hint="eastAsia"/>
        </w:rPr>
        <w:t>主要研究结论</w:t>
      </w:r>
      <w:r>
        <w:tab/>
      </w:r>
      <w:r>
        <w:fldChar w:fldCharType="begin"/>
      </w:r>
      <w:r>
        <w:instrText xml:space="preserve"> PAGEREF _Toc515980379 \h </w:instrText>
      </w:r>
      <w:r>
        <w:fldChar w:fldCharType="separate"/>
      </w:r>
      <w:r>
        <w:t>9</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"_Toc515980380" </w:instrText>
      </w:r>
      <w:r>
        <w:fldChar w:fldCharType="separate"/>
      </w:r>
      <w:r>
        <w:rPr>
          <w:rStyle w:val="18"/>
          <w:rFonts w:hint="eastAsia" w:ascii="宋体" w:hAnsi="宋体"/>
          <w:b/>
          <w:sz w:val="28"/>
          <w:szCs w:val="28"/>
        </w:rPr>
        <w:t>第二章</w:t>
      </w:r>
      <w:r>
        <w:rPr>
          <w:rStyle w:val="18"/>
          <w:rFonts w:ascii="宋体" w:hAnsi="宋体"/>
          <w:b/>
          <w:sz w:val="28"/>
          <w:szCs w:val="28"/>
        </w:rPr>
        <w:t xml:space="preserve">  </w:t>
      </w:r>
      <w:r>
        <w:rPr>
          <w:rStyle w:val="18"/>
          <w:rFonts w:hint="eastAsia" w:ascii="宋体" w:hAnsi="宋体"/>
          <w:b/>
          <w:sz w:val="28"/>
          <w:szCs w:val="28"/>
        </w:rPr>
        <w:t>需求分析与建设规模</w:t>
      </w:r>
      <w:r>
        <w:tab/>
      </w:r>
      <w:r>
        <w:fldChar w:fldCharType="begin"/>
      </w:r>
      <w:r>
        <w:instrText xml:space="preserve"> PAGEREF _Toc515980380 \h </w:instrText>
      </w:r>
      <w:r>
        <w:fldChar w:fldCharType="separate"/>
      </w:r>
      <w:r>
        <w:t>10</w:t>
      </w:r>
      <w:r>
        <w:fldChar w:fldCharType="end"/>
      </w:r>
      <w:r>
        <w:fldChar w:fldCharType="end"/>
      </w:r>
    </w:p>
    <w:p>
      <w:pPr>
        <w:pStyle w:val="14"/>
        <w:tabs>
          <w:tab w:val="right" w:leader="dot" w:pos="9018"/>
        </w:tabs>
        <w:rPr>
          <w:kern w:val="2"/>
          <w:sz w:val="21"/>
        </w:rPr>
      </w:pPr>
      <w:r>
        <w:fldChar w:fldCharType="begin"/>
      </w:r>
      <w:r>
        <w:instrText xml:space="preserve"> HYPERLINK \l "_Toc515980381" </w:instrText>
      </w:r>
      <w:r>
        <w:fldChar w:fldCharType="separate"/>
      </w:r>
      <w:r>
        <w:rPr>
          <w:rStyle w:val="18"/>
        </w:rPr>
        <w:t xml:space="preserve">2.1 </w:t>
      </w:r>
      <w:r>
        <w:rPr>
          <w:rStyle w:val="18"/>
          <w:rFonts w:hint="eastAsia"/>
        </w:rPr>
        <w:t>区域社会经济发展概况与总体规划</w:t>
      </w:r>
      <w:r>
        <w:tab/>
      </w:r>
      <w:r>
        <w:fldChar w:fldCharType="begin"/>
      </w:r>
      <w:r>
        <w:instrText xml:space="preserve"> PAGEREF _Toc515980381 \h </w:instrText>
      </w:r>
      <w:r>
        <w:fldChar w:fldCharType="separate"/>
      </w:r>
      <w:r>
        <w:t>10</w:t>
      </w:r>
      <w:r>
        <w:fldChar w:fldCharType="end"/>
      </w:r>
      <w:r>
        <w:fldChar w:fldCharType="end"/>
      </w:r>
    </w:p>
    <w:p>
      <w:pPr>
        <w:pStyle w:val="14"/>
        <w:tabs>
          <w:tab w:val="right" w:leader="dot" w:pos="9018"/>
        </w:tabs>
        <w:rPr>
          <w:kern w:val="2"/>
          <w:sz w:val="21"/>
        </w:rPr>
      </w:pPr>
      <w:r>
        <w:fldChar w:fldCharType="begin"/>
      </w:r>
      <w:r>
        <w:instrText xml:space="preserve"> HYPERLINK \l "_Toc515980382" </w:instrText>
      </w:r>
      <w:r>
        <w:fldChar w:fldCharType="separate"/>
      </w:r>
      <w:r>
        <w:rPr>
          <w:rStyle w:val="18"/>
        </w:rPr>
        <w:t xml:space="preserve">2.2  </w:t>
      </w:r>
      <w:r>
        <w:rPr>
          <w:rStyle w:val="18"/>
          <w:rFonts w:hint="eastAsia"/>
        </w:rPr>
        <w:t>教育发展规划</w:t>
      </w:r>
      <w:r>
        <w:tab/>
      </w:r>
      <w:r>
        <w:fldChar w:fldCharType="begin"/>
      </w:r>
      <w:r>
        <w:instrText xml:space="preserve"> PAGEREF _Toc515980382 \h </w:instrText>
      </w:r>
      <w:r>
        <w:fldChar w:fldCharType="separate"/>
      </w:r>
      <w:r>
        <w:t>11</w:t>
      </w:r>
      <w:r>
        <w:fldChar w:fldCharType="end"/>
      </w:r>
      <w:r>
        <w:fldChar w:fldCharType="end"/>
      </w:r>
    </w:p>
    <w:p>
      <w:pPr>
        <w:pStyle w:val="14"/>
        <w:tabs>
          <w:tab w:val="right" w:leader="dot" w:pos="9018"/>
        </w:tabs>
        <w:rPr>
          <w:kern w:val="2"/>
          <w:sz w:val="21"/>
        </w:rPr>
      </w:pPr>
      <w:r>
        <w:fldChar w:fldCharType="begin"/>
      </w:r>
      <w:r>
        <w:instrText xml:space="preserve"> HYPERLINK \l "_Toc515980383" </w:instrText>
      </w:r>
      <w:r>
        <w:fldChar w:fldCharType="separate"/>
      </w:r>
      <w:r>
        <w:rPr>
          <w:rStyle w:val="18"/>
        </w:rPr>
        <w:t xml:space="preserve">2.3  </w:t>
      </w:r>
      <w:r>
        <w:rPr>
          <w:rStyle w:val="18"/>
          <w:rFonts w:hint="eastAsia"/>
        </w:rPr>
        <w:t>珠海相似项目情况</w:t>
      </w:r>
      <w:r>
        <w:tab/>
      </w:r>
      <w:r>
        <w:fldChar w:fldCharType="begin"/>
      </w:r>
      <w:r>
        <w:instrText xml:space="preserve"> PAGEREF _Toc515980383 \h </w:instrText>
      </w:r>
      <w:r>
        <w:fldChar w:fldCharType="separate"/>
      </w:r>
      <w:r>
        <w:t>12</w:t>
      </w:r>
      <w:r>
        <w:fldChar w:fldCharType="end"/>
      </w:r>
      <w:r>
        <w:fldChar w:fldCharType="end"/>
      </w:r>
    </w:p>
    <w:p>
      <w:pPr>
        <w:pStyle w:val="14"/>
        <w:tabs>
          <w:tab w:val="right" w:leader="dot" w:pos="9018"/>
        </w:tabs>
        <w:rPr>
          <w:kern w:val="2"/>
          <w:sz w:val="21"/>
        </w:rPr>
      </w:pPr>
      <w:r>
        <w:fldChar w:fldCharType="begin"/>
      </w:r>
      <w:r>
        <w:instrText xml:space="preserve"> HYPERLINK \l "_Toc515980384" </w:instrText>
      </w:r>
      <w:r>
        <w:fldChar w:fldCharType="separate"/>
      </w:r>
      <w:r>
        <w:rPr>
          <w:rStyle w:val="18"/>
        </w:rPr>
        <w:t xml:space="preserve">2.4  </w:t>
      </w:r>
      <w:r>
        <w:rPr>
          <w:rStyle w:val="18"/>
          <w:rFonts w:hint="eastAsia"/>
        </w:rPr>
        <w:t>项目需求分析</w:t>
      </w:r>
      <w:r>
        <w:tab/>
      </w:r>
      <w:r>
        <w:fldChar w:fldCharType="begin"/>
      </w:r>
      <w:r>
        <w:instrText xml:space="preserve"> PAGEREF _Toc515980384 \h </w:instrText>
      </w:r>
      <w:r>
        <w:fldChar w:fldCharType="separate"/>
      </w:r>
      <w:r>
        <w:t>13</w:t>
      </w:r>
      <w:r>
        <w:fldChar w:fldCharType="end"/>
      </w:r>
      <w:r>
        <w:fldChar w:fldCharType="end"/>
      </w:r>
    </w:p>
    <w:p>
      <w:pPr>
        <w:pStyle w:val="14"/>
        <w:tabs>
          <w:tab w:val="right" w:leader="dot" w:pos="9018"/>
        </w:tabs>
        <w:rPr>
          <w:kern w:val="2"/>
          <w:sz w:val="21"/>
        </w:rPr>
      </w:pPr>
      <w:r>
        <w:fldChar w:fldCharType="begin"/>
      </w:r>
      <w:r>
        <w:instrText xml:space="preserve"> HYPERLINK \l "_Toc515980385" </w:instrText>
      </w:r>
      <w:r>
        <w:fldChar w:fldCharType="separate"/>
      </w:r>
      <w:r>
        <w:rPr>
          <w:rStyle w:val="18"/>
        </w:rPr>
        <w:t xml:space="preserve">2.5  </w:t>
      </w:r>
      <w:r>
        <w:rPr>
          <w:rStyle w:val="18"/>
          <w:rFonts w:hint="eastAsia"/>
        </w:rPr>
        <w:t>建设需求</w:t>
      </w:r>
      <w:r>
        <w:tab/>
      </w:r>
      <w:r>
        <w:fldChar w:fldCharType="begin"/>
      </w:r>
      <w:r>
        <w:instrText xml:space="preserve"> PAGEREF _Toc515980385 \h </w:instrText>
      </w:r>
      <w:r>
        <w:fldChar w:fldCharType="separate"/>
      </w:r>
      <w:r>
        <w:t>14</w:t>
      </w:r>
      <w:r>
        <w:fldChar w:fldCharType="end"/>
      </w:r>
      <w:r>
        <w:fldChar w:fldCharType="end"/>
      </w:r>
    </w:p>
    <w:p>
      <w:pPr>
        <w:pStyle w:val="8"/>
        <w:tabs>
          <w:tab w:val="right" w:leader="dot" w:pos="9018"/>
        </w:tabs>
        <w:ind w:left="0" w:leftChars="0" w:firstLine="220" w:firstLineChars="100"/>
        <w:rPr>
          <w:kern w:val="2"/>
          <w:sz w:val="21"/>
        </w:rPr>
      </w:pPr>
      <w:r>
        <w:fldChar w:fldCharType="begin"/>
      </w:r>
      <w:r>
        <w:instrText xml:space="preserve"> HYPERLINK \l "_Toc515980386" </w:instrText>
      </w:r>
      <w:r>
        <w:fldChar w:fldCharType="separate"/>
      </w:r>
      <w:r>
        <w:rPr>
          <w:rStyle w:val="18"/>
          <w:rFonts w:ascii="宋体" w:hAnsi="宋体"/>
        </w:rPr>
        <w:t xml:space="preserve">2.6  </w:t>
      </w:r>
      <w:r>
        <w:rPr>
          <w:rStyle w:val="18"/>
          <w:rFonts w:hint="eastAsia" w:ascii="宋体" w:hAnsi="宋体"/>
        </w:rPr>
        <w:t>建设规模与建设标准</w:t>
      </w:r>
      <w:r>
        <w:tab/>
      </w:r>
      <w:r>
        <w:fldChar w:fldCharType="begin"/>
      </w:r>
      <w:r>
        <w:instrText xml:space="preserve"> PAGEREF _Toc515980386 \h </w:instrText>
      </w:r>
      <w:r>
        <w:fldChar w:fldCharType="separate"/>
      </w:r>
      <w:r>
        <w:t>14</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"_Toc515980387" </w:instrText>
      </w:r>
      <w:r>
        <w:fldChar w:fldCharType="separate"/>
      </w:r>
      <w:r>
        <w:rPr>
          <w:rStyle w:val="18"/>
          <w:rFonts w:hint="eastAsia" w:ascii="宋体" w:hAnsi="宋体"/>
          <w:b/>
          <w:sz w:val="28"/>
          <w:szCs w:val="28"/>
        </w:rPr>
        <w:t>第三章</w:t>
      </w:r>
      <w:r>
        <w:rPr>
          <w:rStyle w:val="18"/>
          <w:rFonts w:ascii="宋体" w:hAnsi="宋体"/>
          <w:b/>
          <w:sz w:val="28"/>
          <w:szCs w:val="28"/>
        </w:rPr>
        <w:t xml:space="preserve">  </w:t>
      </w:r>
      <w:r>
        <w:rPr>
          <w:rStyle w:val="18"/>
          <w:rFonts w:hint="eastAsia" w:ascii="宋体" w:hAnsi="宋体"/>
          <w:b/>
          <w:sz w:val="28"/>
          <w:szCs w:val="28"/>
        </w:rPr>
        <w:t>项目建设的必要性</w:t>
      </w:r>
      <w:r>
        <w:tab/>
      </w:r>
      <w:r>
        <w:fldChar w:fldCharType="begin"/>
      </w:r>
      <w:r>
        <w:instrText xml:space="preserve"> PAGEREF _Toc515980387 \h </w:instrText>
      </w:r>
      <w:r>
        <w:fldChar w:fldCharType="separate"/>
      </w:r>
      <w:r>
        <w:t>22</w:t>
      </w:r>
      <w:r>
        <w:fldChar w:fldCharType="end"/>
      </w:r>
      <w:r>
        <w:fldChar w:fldCharType="end"/>
      </w:r>
    </w:p>
    <w:p>
      <w:pPr>
        <w:pStyle w:val="14"/>
        <w:tabs>
          <w:tab w:val="right" w:leader="dot" w:pos="9018"/>
        </w:tabs>
        <w:rPr>
          <w:kern w:val="2"/>
          <w:sz w:val="21"/>
        </w:rPr>
      </w:pPr>
      <w:r>
        <w:fldChar w:fldCharType="begin"/>
      </w:r>
      <w:r>
        <w:instrText xml:space="preserve"> HYPERLINK \l "_Toc515980388" </w:instrText>
      </w:r>
      <w:r>
        <w:fldChar w:fldCharType="separate"/>
      </w:r>
      <w:r>
        <w:rPr>
          <w:rStyle w:val="18"/>
        </w:rPr>
        <w:t xml:space="preserve">3.1  </w:t>
      </w:r>
      <w:r>
        <w:rPr>
          <w:rStyle w:val="18"/>
          <w:rFonts w:hint="eastAsia"/>
        </w:rPr>
        <w:t>项目建设是全面贯彻落实党十九大精神的需要</w:t>
      </w:r>
      <w:r>
        <w:tab/>
      </w:r>
      <w:r>
        <w:fldChar w:fldCharType="begin"/>
      </w:r>
      <w:r>
        <w:instrText xml:space="preserve"> PAGEREF _Toc515980388 \h </w:instrText>
      </w:r>
      <w:r>
        <w:fldChar w:fldCharType="separate"/>
      </w:r>
      <w:r>
        <w:t>22</w:t>
      </w:r>
      <w:r>
        <w:fldChar w:fldCharType="end"/>
      </w:r>
      <w:r>
        <w:fldChar w:fldCharType="end"/>
      </w:r>
    </w:p>
    <w:p>
      <w:pPr>
        <w:pStyle w:val="14"/>
        <w:tabs>
          <w:tab w:val="right" w:leader="dot" w:pos="9018"/>
        </w:tabs>
        <w:rPr>
          <w:kern w:val="2"/>
          <w:sz w:val="21"/>
        </w:rPr>
      </w:pPr>
      <w:r>
        <w:fldChar w:fldCharType="begin"/>
      </w:r>
      <w:r>
        <w:instrText xml:space="preserve"> HYPERLINK \l "_Toc515980389" </w:instrText>
      </w:r>
      <w:r>
        <w:fldChar w:fldCharType="separate"/>
      </w:r>
      <w:r>
        <w:rPr>
          <w:rStyle w:val="18"/>
        </w:rPr>
        <w:t xml:space="preserve">3.2  </w:t>
      </w:r>
      <w:r>
        <w:rPr>
          <w:rStyle w:val="18"/>
          <w:rFonts w:hint="eastAsia"/>
        </w:rPr>
        <w:t>项目建设是加强当前的建设，促进区域社会经济长远稳定健康发展的需要</w:t>
      </w:r>
      <w:r>
        <w:tab/>
      </w:r>
      <w:r>
        <w:fldChar w:fldCharType="begin"/>
      </w:r>
      <w:r>
        <w:instrText xml:space="preserve"> PAGEREF _Toc515980389 \h </w:instrText>
      </w:r>
      <w:r>
        <w:fldChar w:fldCharType="separate"/>
      </w:r>
      <w:r>
        <w:t>23</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"_Toc515980390" </w:instrText>
      </w:r>
      <w:r>
        <w:fldChar w:fldCharType="separate"/>
      </w:r>
      <w:r>
        <w:rPr>
          <w:rStyle w:val="18"/>
          <w:rFonts w:hint="eastAsia" w:ascii="宋体" w:hAnsi="宋体"/>
          <w:b/>
          <w:sz w:val="28"/>
          <w:szCs w:val="28"/>
        </w:rPr>
        <w:t>第四章</w:t>
      </w:r>
      <w:r>
        <w:rPr>
          <w:rStyle w:val="18"/>
          <w:rFonts w:ascii="宋体" w:hAnsi="宋体"/>
          <w:b/>
          <w:sz w:val="28"/>
          <w:szCs w:val="28"/>
        </w:rPr>
        <w:t xml:space="preserve">  </w:t>
      </w:r>
      <w:r>
        <w:rPr>
          <w:rStyle w:val="18"/>
          <w:rFonts w:hint="eastAsia" w:ascii="宋体" w:hAnsi="宋体"/>
          <w:b/>
          <w:sz w:val="28"/>
          <w:szCs w:val="28"/>
        </w:rPr>
        <w:t>建设场址及建设条件</w:t>
      </w:r>
      <w:r>
        <w:tab/>
      </w:r>
      <w:r>
        <w:fldChar w:fldCharType="begin"/>
      </w:r>
      <w:r>
        <w:instrText xml:space="preserve"> PAGEREF _Toc515980390 \h </w:instrText>
      </w:r>
      <w:r>
        <w:fldChar w:fldCharType="separate"/>
      </w:r>
      <w:r>
        <w:t>24</w:t>
      </w:r>
      <w:r>
        <w:fldChar w:fldCharType="end"/>
      </w:r>
      <w:r>
        <w:fldChar w:fldCharType="end"/>
      </w:r>
    </w:p>
    <w:p>
      <w:pPr>
        <w:pStyle w:val="14"/>
        <w:tabs>
          <w:tab w:val="right" w:leader="dot" w:pos="9018"/>
        </w:tabs>
        <w:rPr>
          <w:kern w:val="2"/>
          <w:sz w:val="21"/>
        </w:rPr>
      </w:pPr>
      <w:r>
        <w:fldChar w:fldCharType="begin"/>
      </w:r>
      <w:r>
        <w:instrText xml:space="preserve"> HYPERLINK \l "_Toc515980391" </w:instrText>
      </w:r>
      <w:r>
        <w:fldChar w:fldCharType="separate"/>
      </w:r>
      <w:r>
        <w:rPr>
          <w:rStyle w:val="18"/>
        </w:rPr>
        <w:t>4.1</w:t>
      </w:r>
      <w:r>
        <w:rPr>
          <w:rStyle w:val="18"/>
          <w:rFonts w:hint="eastAsia"/>
        </w:rPr>
        <w:t>场址概况</w:t>
      </w:r>
      <w:r>
        <w:tab/>
      </w:r>
      <w:r>
        <w:fldChar w:fldCharType="begin"/>
      </w:r>
      <w:r>
        <w:instrText xml:space="preserve"> PAGEREF _Toc515980391 \h </w:instrText>
      </w:r>
      <w:r>
        <w:fldChar w:fldCharType="separate"/>
      </w:r>
      <w:r>
        <w:t>24</w:t>
      </w:r>
      <w:r>
        <w:fldChar w:fldCharType="end"/>
      </w:r>
      <w:r>
        <w:fldChar w:fldCharType="end"/>
      </w:r>
    </w:p>
    <w:p>
      <w:pPr>
        <w:pStyle w:val="14"/>
        <w:tabs>
          <w:tab w:val="right" w:leader="dot" w:pos="9018"/>
        </w:tabs>
        <w:rPr>
          <w:kern w:val="2"/>
          <w:sz w:val="21"/>
        </w:rPr>
      </w:pPr>
      <w:r>
        <w:fldChar w:fldCharType="begin"/>
      </w:r>
      <w:r>
        <w:instrText xml:space="preserve"> HYPERLINK \l "_Toc515980392" </w:instrText>
      </w:r>
      <w:r>
        <w:fldChar w:fldCharType="separate"/>
      </w:r>
      <w:r>
        <w:rPr>
          <w:rStyle w:val="18"/>
        </w:rPr>
        <w:t xml:space="preserve">4.2 </w:t>
      </w:r>
      <w:r>
        <w:rPr>
          <w:rStyle w:val="18"/>
          <w:rFonts w:hint="eastAsia"/>
        </w:rPr>
        <w:t>自然条件</w:t>
      </w:r>
      <w:r>
        <w:tab/>
      </w:r>
      <w:r>
        <w:fldChar w:fldCharType="begin"/>
      </w:r>
      <w:r>
        <w:instrText xml:space="preserve"> PAGEREF _Toc515980392 \h </w:instrText>
      </w:r>
      <w:r>
        <w:fldChar w:fldCharType="separate"/>
      </w:r>
      <w:r>
        <w:t>26</w:t>
      </w:r>
      <w:r>
        <w:fldChar w:fldCharType="end"/>
      </w:r>
      <w:r>
        <w:fldChar w:fldCharType="end"/>
      </w:r>
    </w:p>
    <w:p>
      <w:pPr>
        <w:pStyle w:val="14"/>
        <w:tabs>
          <w:tab w:val="right" w:leader="dot" w:pos="9018"/>
        </w:tabs>
        <w:rPr>
          <w:kern w:val="2"/>
          <w:sz w:val="21"/>
        </w:rPr>
      </w:pPr>
      <w:r>
        <w:fldChar w:fldCharType="begin"/>
      </w:r>
      <w:r>
        <w:instrText xml:space="preserve"> HYPERLINK \l "_Toc515980393" </w:instrText>
      </w:r>
      <w:r>
        <w:fldChar w:fldCharType="separate"/>
      </w:r>
      <w:r>
        <w:rPr>
          <w:rStyle w:val="18"/>
        </w:rPr>
        <w:t>4.3</w:t>
      </w:r>
      <w:r>
        <w:rPr>
          <w:rStyle w:val="18"/>
          <w:rFonts w:hint="eastAsia"/>
        </w:rPr>
        <w:t>交通条件</w:t>
      </w:r>
      <w:r>
        <w:tab/>
      </w:r>
      <w:r>
        <w:fldChar w:fldCharType="begin"/>
      </w:r>
      <w:r>
        <w:instrText xml:space="preserve"> PAGEREF _Toc515980393 \h </w:instrText>
      </w:r>
      <w:r>
        <w:fldChar w:fldCharType="separate"/>
      </w:r>
      <w:r>
        <w:t>27</w:t>
      </w:r>
      <w:r>
        <w:fldChar w:fldCharType="end"/>
      </w:r>
      <w:r>
        <w:fldChar w:fldCharType="end"/>
      </w:r>
    </w:p>
    <w:p>
      <w:pPr>
        <w:pStyle w:val="14"/>
        <w:tabs>
          <w:tab w:val="right" w:leader="dot" w:pos="9018"/>
        </w:tabs>
        <w:rPr>
          <w:kern w:val="2"/>
          <w:sz w:val="21"/>
        </w:rPr>
      </w:pPr>
      <w:r>
        <w:fldChar w:fldCharType="begin"/>
      </w:r>
      <w:r>
        <w:instrText xml:space="preserve"> HYPERLINK \l "_Toc515980394" </w:instrText>
      </w:r>
      <w:r>
        <w:fldChar w:fldCharType="separate"/>
      </w:r>
      <w:r>
        <w:rPr>
          <w:rStyle w:val="18"/>
        </w:rPr>
        <w:t>4.4</w:t>
      </w:r>
      <w:r>
        <w:rPr>
          <w:rStyle w:val="18"/>
          <w:rFonts w:hint="eastAsia"/>
        </w:rPr>
        <w:t>市政配套条件</w:t>
      </w:r>
      <w:r>
        <w:tab/>
      </w:r>
      <w:r>
        <w:fldChar w:fldCharType="begin"/>
      </w:r>
      <w:r>
        <w:instrText xml:space="preserve"> PAGEREF _Toc515980394 \h </w:instrText>
      </w:r>
      <w:r>
        <w:fldChar w:fldCharType="separate"/>
      </w:r>
      <w:r>
        <w:t>28</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"_Toc515980395" </w:instrText>
      </w:r>
      <w:r>
        <w:fldChar w:fldCharType="separate"/>
      </w:r>
      <w:r>
        <w:rPr>
          <w:rStyle w:val="18"/>
          <w:rFonts w:hint="eastAsia" w:ascii="宋体" w:hAnsi="宋体"/>
          <w:b/>
          <w:sz w:val="28"/>
          <w:szCs w:val="28"/>
        </w:rPr>
        <w:t>第五章</w:t>
      </w:r>
      <w:r>
        <w:rPr>
          <w:rStyle w:val="18"/>
          <w:rFonts w:ascii="宋体" w:hAnsi="宋体"/>
          <w:b/>
          <w:sz w:val="28"/>
          <w:szCs w:val="28"/>
        </w:rPr>
        <w:t xml:space="preserve">  </w:t>
      </w:r>
      <w:r>
        <w:rPr>
          <w:rStyle w:val="18"/>
          <w:rFonts w:hint="eastAsia" w:ascii="宋体" w:hAnsi="宋体"/>
          <w:b/>
          <w:sz w:val="28"/>
          <w:szCs w:val="28"/>
        </w:rPr>
        <w:t>规划建设方案</w:t>
      </w:r>
      <w:r>
        <w:tab/>
      </w:r>
      <w:r>
        <w:fldChar w:fldCharType="begin"/>
      </w:r>
      <w:r>
        <w:instrText xml:space="preserve"> PAGEREF _Toc515980395 \h </w:instrText>
      </w:r>
      <w:r>
        <w:fldChar w:fldCharType="separate"/>
      </w:r>
      <w:r>
        <w:t>28</w:t>
      </w:r>
      <w:r>
        <w:fldChar w:fldCharType="end"/>
      </w:r>
      <w:r>
        <w:fldChar w:fldCharType="end"/>
      </w:r>
    </w:p>
    <w:p>
      <w:pPr>
        <w:pStyle w:val="14"/>
        <w:tabs>
          <w:tab w:val="right" w:leader="dot" w:pos="9018"/>
        </w:tabs>
        <w:rPr>
          <w:kern w:val="2"/>
          <w:sz w:val="21"/>
        </w:rPr>
      </w:pPr>
      <w:r>
        <w:fldChar w:fldCharType="begin"/>
      </w:r>
      <w:r>
        <w:instrText xml:space="preserve"> HYPERLINK \l "_Toc515980396" </w:instrText>
      </w:r>
      <w:r>
        <w:fldChar w:fldCharType="separate"/>
      </w:r>
      <w:r>
        <w:rPr>
          <w:rStyle w:val="18"/>
        </w:rPr>
        <w:t xml:space="preserve">5.1  </w:t>
      </w:r>
      <w:r>
        <w:rPr>
          <w:rStyle w:val="18"/>
          <w:rFonts w:hint="eastAsia"/>
        </w:rPr>
        <w:t>项目定位</w:t>
      </w:r>
      <w:r>
        <w:tab/>
      </w:r>
      <w:r>
        <w:fldChar w:fldCharType="begin"/>
      </w:r>
      <w:r>
        <w:instrText xml:space="preserve"> PAGEREF _Toc515980396 \h </w:instrText>
      </w:r>
      <w:r>
        <w:fldChar w:fldCharType="separate"/>
      </w:r>
      <w:r>
        <w:t>28</w:t>
      </w:r>
      <w:r>
        <w:fldChar w:fldCharType="end"/>
      </w:r>
      <w:r>
        <w:fldChar w:fldCharType="end"/>
      </w:r>
    </w:p>
    <w:p>
      <w:pPr>
        <w:pStyle w:val="14"/>
        <w:tabs>
          <w:tab w:val="right" w:leader="dot" w:pos="9018"/>
        </w:tabs>
        <w:rPr>
          <w:kern w:val="2"/>
          <w:sz w:val="21"/>
        </w:rPr>
      </w:pPr>
      <w:r>
        <w:fldChar w:fldCharType="begin"/>
      </w:r>
      <w:r>
        <w:instrText xml:space="preserve"> HYPERLINK \l "_Toc515980397" </w:instrText>
      </w:r>
      <w:r>
        <w:fldChar w:fldCharType="separate"/>
      </w:r>
      <w:r>
        <w:rPr>
          <w:rStyle w:val="18"/>
        </w:rPr>
        <w:t xml:space="preserve">5.2  </w:t>
      </w:r>
      <w:r>
        <w:rPr>
          <w:rStyle w:val="18"/>
          <w:rFonts w:hint="eastAsia"/>
        </w:rPr>
        <w:t>规划设计原则</w:t>
      </w:r>
      <w:r>
        <w:tab/>
      </w:r>
      <w:r>
        <w:fldChar w:fldCharType="begin"/>
      </w:r>
      <w:r>
        <w:instrText xml:space="preserve"> PAGEREF _Toc515980397 \h </w:instrText>
      </w:r>
      <w:r>
        <w:fldChar w:fldCharType="separate"/>
      </w:r>
      <w:r>
        <w:t>29</w:t>
      </w:r>
      <w:r>
        <w:fldChar w:fldCharType="end"/>
      </w:r>
      <w:r>
        <w:fldChar w:fldCharType="end"/>
      </w:r>
    </w:p>
    <w:p>
      <w:pPr>
        <w:pStyle w:val="14"/>
        <w:tabs>
          <w:tab w:val="right" w:leader="dot" w:pos="9018"/>
        </w:tabs>
        <w:rPr>
          <w:kern w:val="2"/>
          <w:sz w:val="21"/>
        </w:rPr>
      </w:pPr>
      <w:r>
        <w:fldChar w:fldCharType="begin"/>
      </w:r>
      <w:r>
        <w:instrText xml:space="preserve"> HYPERLINK \l "_Toc515980398" </w:instrText>
      </w:r>
      <w:r>
        <w:fldChar w:fldCharType="separate"/>
      </w:r>
      <w:r>
        <w:rPr>
          <w:rStyle w:val="18"/>
        </w:rPr>
        <w:t xml:space="preserve">5.3  </w:t>
      </w:r>
      <w:r>
        <w:rPr>
          <w:rStyle w:val="18"/>
          <w:rFonts w:hint="eastAsia"/>
        </w:rPr>
        <w:t>工程建设方案</w:t>
      </w:r>
      <w:r>
        <w:tab/>
      </w:r>
      <w:r>
        <w:fldChar w:fldCharType="begin"/>
      </w:r>
      <w:r>
        <w:instrText xml:space="preserve"> PAGEREF _Toc515980398 \h </w:instrText>
      </w:r>
      <w:r>
        <w:fldChar w:fldCharType="separate"/>
      </w:r>
      <w:r>
        <w:t>30</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"_Toc515980399" </w:instrText>
      </w:r>
      <w:r>
        <w:fldChar w:fldCharType="separate"/>
      </w:r>
      <w:r>
        <w:rPr>
          <w:rStyle w:val="18"/>
          <w:rFonts w:hint="eastAsia" w:ascii="宋体" w:hAnsi="宋体"/>
          <w:b/>
          <w:sz w:val="28"/>
          <w:szCs w:val="28"/>
        </w:rPr>
        <w:t>第六章</w:t>
      </w:r>
      <w:r>
        <w:rPr>
          <w:rStyle w:val="18"/>
          <w:rFonts w:ascii="宋体" w:hAnsi="宋体"/>
          <w:b/>
          <w:sz w:val="28"/>
          <w:szCs w:val="28"/>
        </w:rPr>
        <w:t xml:space="preserve">  </w:t>
      </w:r>
      <w:r>
        <w:rPr>
          <w:rStyle w:val="18"/>
          <w:rFonts w:hint="eastAsia" w:ascii="宋体" w:hAnsi="宋体"/>
          <w:b/>
          <w:sz w:val="28"/>
          <w:szCs w:val="28"/>
        </w:rPr>
        <w:t>公用工程方案</w:t>
      </w:r>
      <w:r>
        <w:tab/>
      </w:r>
      <w:r>
        <w:fldChar w:fldCharType="begin"/>
      </w:r>
      <w:r>
        <w:instrText xml:space="preserve"> PAGEREF _Toc515980399 \h </w:instrText>
      </w:r>
      <w:r>
        <w:fldChar w:fldCharType="separate"/>
      </w:r>
      <w:r>
        <w:t>36</w:t>
      </w:r>
      <w:r>
        <w:fldChar w:fldCharType="end"/>
      </w:r>
      <w:r>
        <w:fldChar w:fldCharType="end"/>
      </w:r>
    </w:p>
    <w:p>
      <w:pPr>
        <w:pStyle w:val="14"/>
        <w:tabs>
          <w:tab w:val="right" w:leader="dot" w:pos="9018"/>
        </w:tabs>
        <w:rPr>
          <w:kern w:val="2"/>
          <w:sz w:val="21"/>
        </w:rPr>
      </w:pPr>
      <w:r>
        <w:fldChar w:fldCharType="begin"/>
      </w:r>
      <w:r>
        <w:instrText xml:space="preserve"> HYPERLINK \l "_Toc515980400" </w:instrText>
      </w:r>
      <w:r>
        <w:fldChar w:fldCharType="separate"/>
      </w:r>
      <w:r>
        <w:rPr>
          <w:rStyle w:val="18"/>
        </w:rPr>
        <w:t xml:space="preserve">6.1  </w:t>
      </w:r>
      <w:r>
        <w:rPr>
          <w:rStyle w:val="18"/>
          <w:rFonts w:hint="eastAsia"/>
        </w:rPr>
        <w:t>给排水工程</w:t>
      </w:r>
      <w:r>
        <w:tab/>
      </w:r>
      <w:r>
        <w:fldChar w:fldCharType="begin"/>
      </w:r>
      <w:r>
        <w:instrText xml:space="preserve"> PAGEREF _Toc515980400 \h </w:instrText>
      </w:r>
      <w:r>
        <w:fldChar w:fldCharType="separate"/>
      </w:r>
      <w:r>
        <w:t>36</w:t>
      </w:r>
      <w:r>
        <w:fldChar w:fldCharType="end"/>
      </w:r>
      <w:r>
        <w:fldChar w:fldCharType="end"/>
      </w:r>
    </w:p>
    <w:p>
      <w:pPr>
        <w:pStyle w:val="14"/>
        <w:tabs>
          <w:tab w:val="right" w:leader="dot" w:pos="9018"/>
        </w:tabs>
        <w:rPr>
          <w:kern w:val="2"/>
          <w:sz w:val="21"/>
        </w:rPr>
      </w:pPr>
      <w:r>
        <w:fldChar w:fldCharType="begin"/>
      </w:r>
      <w:r>
        <w:instrText xml:space="preserve"> HYPERLINK \l "_Toc515980401" </w:instrText>
      </w:r>
      <w:r>
        <w:fldChar w:fldCharType="separate"/>
      </w:r>
      <w:r>
        <w:rPr>
          <w:rStyle w:val="18"/>
        </w:rPr>
        <w:t xml:space="preserve">6.2  </w:t>
      </w:r>
      <w:r>
        <w:rPr>
          <w:rStyle w:val="18"/>
          <w:rFonts w:hint="eastAsia"/>
        </w:rPr>
        <w:t>供电工程</w:t>
      </w:r>
      <w:r>
        <w:tab/>
      </w:r>
      <w:r>
        <w:fldChar w:fldCharType="begin"/>
      </w:r>
      <w:r>
        <w:instrText xml:space="preserve"> PAGEREF _Toc515980401 \h </w:instrText>
      </w:r>
      <w:r>
        <w:fldChar w:fldCharType="separate"/>
      </w:r>
      <w:r>
        <w:t>40</w:t>
      </w:r>
      <w:r>
        <w:fldChar w:fldCharType="end"/>
      </w:r>
      <w:r>
        <w:fldChar w:fldCharType="end"/>
      </w:r>
    </w:p>
    <w:p>
      <w:pPr>
        <w:pStyle w:val="14"/>
        <w:tabs>
          <w:tab w:val="right" w:leader="dot" w:pos="9018"/>
        </w:tabs>
        <w:rPr>
          <w:kern w:val="2"/>
          <w:sz w:val="21"/>
        </w:rPr>
      </w:pPr>
      <w:r>
        <w:fldChar w:fldCharType="begin"/>
      </w:r>
      <w:r>
        <w:instrText xml:space="preserve"> HYPERLINK \l "_Toc515980402" </w:instrText>
      </w:r>
      <w:r>
        <w:fldChar w:fldCharType="separate"/>
      </w:r>
      <w:r>
        <w:rPr>
          <w:rStyle w:val="18"/>
        </w:rPr>
        <w:t xml:space="preserve">6.3  </w:t>
      </w:r>
      <w:r>
        <w:rPr>
          <w:rStyle w:val="18"/>
          <w:rFonts w:hint="eastAsia"/>
        </w:rPr>
        <w:t>空调与通风工程</w:t>
      </w:r>
      <w:r>
        <w:tab/>
      </w:r>
      <w:r>
        <w:fldChar w:fldCharType="begin"/>
      </w:r>
      <w:r>
        <w:instrText xml:space="preserve"> PAGEREF _Toc515980402 \h </w:instrText>
      </w:r>
      <w:r>
        <w:fldChar w:fldCharType="separate"/>
      </w:r>
      <w:r>
        <w:t>45</w:t>
      </w:r>
      <w:r>
        <w:fldChar w:fldCharType="end"/>
      </w:r>
      <w:r>
        <w:fldChar w:fldCharType="end"/>
      </w:r>
    </w:p>
    <w:p>
      <w:pPr>
        <w:pStyle w:val="14"/>
        <w:tabs>
          <w:tab w:val="right" w:leader="dot" w:pos="9018"/>
        </w:tabs>
        <w:rPr>
          <w:kern w:val="2"/>
          <w:sz w:val="21"/>
        </w:rPr>
      </w:pPr>
      <w:r>
        <w:fldChar w:fldCharType="begin"/>
      </w:r>
      <w:r>
        <w:instrText xml:space="preserve"> HYPERLINK \l "_Toc515980403" </w:instrText>
      </w:r>
      <w:r>
        <w:fldChar w:fldCharType="separate"/>
      </w:r>
      <w:r>
        <w:rPr>
          <w:rStyle w:val="18"/>
        </w:rPr>
        <w:t>6.4</w:t>
      </w:r>
      <w:r>
        <w:rPr>
          <w:rStyle w:val="18"/>
          <w:rFonts w:hint="eastAsia"/>
        </w:rPr>
        <w:t>弱电系统</w:t>
      </w:r>
      <w:r>
        <w:tab/>
      </w:r>
      <w:r>
        <w:fldChar w:fldCharType="begin"/>
      </w:r>
      <w:r>
        <w:instrText xml:space="preserve"> PAGEREF _Toc515980403 \h </w:instrText>
      </w:r>
      <w:r>
        <w:fldChar w:fldCharType="separate"/>
      </w:r>
      <w:r>
        <w:t>48</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"_Toc515980404" </w:instrText>
      </w:r>
      <w:r>
        <w:fldChar w:fldCharType="separate"/>
      </w:r>
      <w:r>
        <w:rPr>
          <w:rStyle w:val="18"/>
          <w:rFonts w:hint="eastAsia" w:ascii="宋体" w:hAnsi="宋体"/>
          <w:b/>
          <w:sz w:val="28"/>
          <w:szCs w:val="28"/>
        </w:rPr>
        <w:t>第七章</w:t>
      </w:r>
      <w:r>
        <w:rPr>
          <w:rStyle w:val="18"/>
          <w:rFonts w:ascii="宋体" w:hAnsi="宋体"/>
          <w:b/>
          <w:sz w:val="28"/>
          <w:szCs w:val="28"/>
        </w:rPr>
        <w:t xml:space="preserve">  </w:t>
      </w:r>
      <w:r>
        <w:rPr>
          <w:rStyle w:val="18"/>
          <w:rFonts w:hint="eastAsia" w:ascii="宋体" w:hAnsi="宋体"/>
          <w:b/>
          <w:sz w:val="28"/>
          <w:szCs w:val="28"/>
        </w:rPr>
        <w:t>节能</w:t>
      </w:r>
      <w:r>
        <w:tab/>
      </w:r>
      <w:r>
        <w:fldChar w:fldCharType="begin"/>
      </w:r>
      <w:r>
        <w:instrText xml:space="preserve"> PAGEREF _Toc515980404 \h </w:instrText>
      </w:r>
      <w:r>
        <w:fldChar w:fldCharType="separate"/>
      </w:r>
      <w:r>
        <w:t>50</w:t>
      </w:r>
      <w:r>
        <w:fldChar w:fldCharType="end"/>
      </w:r>
      <w:r>
        <w:fldChar w:fldCharType="end"/>
      </w:r>
    </w:p>
    <w:p>
      <w:pPr>
        <w:pStyle w:val="14"/>
        <w:tabs>
          <w:tab w:val="right" w:leader="dot" w:pos="9018"/>
        </w:tabs>
        <w:rPr>
          <w:kern w:val="2"/>
          <w:sz w:val="21"/>
        </w:rPr>
      </w:pPr>
      <w:r>
        <w:fldChar w:fldCharType="begin"/>
      </w:r>
      <w:r>
        <w:instrText xml:space="preserve"> HYPERLINK \l "_Toc515980405" </w:instrText>
      </w:r>
      <w:r>
        <w:fldChar w:fldCharType="separate"/>
      </w:r>
      <w:r>
        <w:rPr>
          <w:rStyle w:val="18"/>
        </w:rPr>
        <w:t xml:space="preserve">7.1  </w:t>
      </w:r>
      <w:r>
        <w:rPr>
          <w:rStyle w:val="18"/>
          <w:rFonts w:hint="eastAsia"/>
        </w:rPr>
        <w:t>编制依据</w:t>
      </w:r>
      <w:r>
        <w:tab/>
      </w:r>
      <w:r>
        <w:fldChar w:fldCharType="begin"/>
      </w:r>
      <w:r>
        <w:instrText xml:space="preserve"> PAGEREF _Toc515980405 \h </w:instrText>
      </w:r>
      <w:r>
        <w:fldChar w:fldCharType="separate"/>
      </w:r>
      <w:r>
        <w:t>50</w:t>
      </w:r>
      <w:r>
        <w:fldChar w:fldCharType="end"/>
      </w:r>
      <w:r>
        <w:fldChar w:fldCharType="end"/>
      </w:r>
    </w:p>
    <w:p>
      <w:pPr>
        <w:pStyle w:val="14"/>
        <w:tabs>
          <w:tab w:val="right" w:leader="dot" w:pos="9018"/>
        </w:tabs>
        <w:rPr>
          <w:kern w:val="2"/>
          <w:sz w:val="21"/>
        </w:rPr>
      </w:pPr>
      <w:r>
        <w:fldChar w:fldCharType="begin"/>
      </w:r>
      <w:r>
        <w:instrText xml:space="preserve"> HYPERLINK \l "_Toc515980406" </w:instrText>
      </w:r>
      <w:r>
        <w:fldChar w:fldCharType="separate"/>
      </w:r>
      <w:r>
        <w:rPr>
          <w:rStyle w:val="18"/>
        </w:rPr>
        <w:t xml:space="preserve">7.2  </w:t>
      </w:r>
      <w:r>
        <w:rPr>
          <w:rStyle w:val="18"/>
          <w:rFonts w:hint="eastAsia"/>
        </w:rPr>
        <w:t>项目所在地能源供应状况</w:t>
      </w:r>
      <w:r>
        <w:tab/>
      </w:r>
      <w:r>
        <w:fldChar w:fldCharType="begin"/>
      </w:r>
      <w:r>
        <w:instrText xml:space="preserve"> PAGEREF _Toc515980406 \h </w:instrText>
      </w:r>
      <w:r>
        <w:fldChar w:fldCharType="separate"/>
      </w:r>
      <w:r>
        <w:t>50</w:t>
      </w:r>
      <w:r>
        <w:fldChar w:fldCharType="end"/>
      </w:r>
      <w:r>
        <w:fldChar w:fldCharType="end"/>
      </w:r>
    </w:p>
    <w:p>
      <w:pPr>
        <w:pStyle w:val="14"/>
        <w:tabs>
          <w:tab w:val="right" w:leader="dot" w:pos="9018"/>
        </w:tabs>
        <w:rPr>
          <w:kern w:val="2"/>
          <w:sz w:val="21"/>
        </w:rPr>
      </w:pPr>
      <w:r>
        <w:fldChar w:fldCharType="begin"/>
      </w:r>
      <w:r>
        <w:instrText xml:space="preserve"> HYPERLINK \l "_Toc515980407" </w:instrText>
      </w:r>
      <w:r>
        <w:fldChar w:fldCharType="separate"/>
      </w:r>
      <w:r>
        <w:rPr>
          <w:rStyle w:val="18"/>
          <w:snapToGrid w:val="0"/>
        </w:rPr>
        <w:t xml:space="preserve">7.3  </w:t>
      </w:r>
      <w:r>
        <w:rPr>
          <w:rStyle w:val="18"/>
          <w:rFonts w:hint="eastAsia"/>
          <w:snapToGrid w:val="0"/>
        </w:rPr>
        <w:t>节能措施</w:t>
      </w:r>
      <w:r>
        <w:tab/>
      </w:r>
      <w:r>
        <w:fldChar w:fldCharType="begin"/>
      </w:r>
      <w:r>
        <w:instrText xml:space="preserve"> PAGEREF _Toc515980407 \h </w:instrText>
      </w:r>
      <w:r>
        <w:fldChar w:fldCharType="separate"/>
      </w:r>
      <w:r>
        <w:t>51</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"_Toc515980408" </w:instrText>
      </w:r>
      <w:r>
        <w:fldChar w:fldCharType="separate"/>
      </w:r>
      <w:r>
        <w:rPr>
          <w:rStyle w:val="18"/>
          <w:rFonts w:hint="eastAsia" w:ascii="宋体" w:hAnsi="宋体"/>
          <w:b/>
          <w:sz w:val="28"/>
          <w:szCs w:val="28"/>
        </w:rPr>
        <w:t>第八章</w:t>
      </w:r>
      <w:r>
        <w:rPr>
          <w:rStyle w:val="18"/>
          <w:rFonts w:ascii="宋体" w:hAnsi="宋体"/>
          <w:b/>
          <w:sz w:val="28"/>
          <w:szCs w:val="28"/>
        </w:rPr>
        <w:t xml:space="preserve">  </w:t>
      </w:r>
      <w:r>
        <w:rPr>
          <w:rStyle w:val="18"/>
          <w:rFonts w:hint="eastAsia" w:ascii="宋体" w:hAnsi="宋体"/>
          <w:b/>
          <w:sz w:val="28"/>
          <w:szCs w:val="28"/>
        </w:rPr>
        <w:t>绿色建筑</w:t>
      </w:r>
      <w:r>
        <w:tab/>
      </w:r>
      <w:r>
        <w:fldChar w:fldCharType="begin"/>
      </w:r>
      <w:r>
        <w:instrText xml:space="preserve"> PAGEREF _Toc515980408 \h </w:instrText>
      </w:r>
      <w:r>
        <w:fldChar w:fldCharType="separate"/>
      </w:r>
      <w:r>
        <w:t>54</w:t>
      </w:r>
      <w:r>
        <w:fldChar w:fldCharType="end"/>
      </w:r>
      <w:r>
        <w:fldChar w:fldCharType="end"/>
      </w:r>
    </w:p>
    <w:p>
      <w:pPr>
        <w:pStyle w:val="14"/>
        <w:tabs>
          <w:tab w:val="right" w:leader="dot" w:pos="9018"/>
        </w:tabs>
        <w:rPr>
          <w:kern w:val="2"/>
          <w:sz w:val="21"/>
        </w:rPr>
      </w:pPr>
      <w:r>
        <w:fldChar w:fldCharType="begin"/>
      </w:r>
      <w:r>
        <w:instrText xml:space="preserve"> HYPERLINK \l "_Toc515980409" </w:instrText>
      </w:r>
      <w:r>
        <w:fldChar w:fldCharType="separate"/>
      </w:r>
      <w:r>
        <w:rPr>
          <w:rStyle w:val="18"/>
        </w:rPr>
        <w:t xml:space="preserve">8.1  </w:t>
      </w:r>
      <w:r>
        <w:rPr>
          <w:rStyle w:val="18"/>
          <w:rFonts w:hint="eastAsia"/>
        </w:rPr>
        <w:t>标准依据</w:t>
      </w:r>
      <w:r>
        <w:tab/>
      </w:r>
      <w:r>
        <w:fldChar w:fldCharType="begin"/>
      </w:r>
      <w:r>
        <w:instrText xml:space="preserve"> PAGEREF _Toc515980409 \h </w:instrText>
      </w:r>
      <w:r>
        <w:fldChar w:fldCharType="separate"/>
      </w:r>
      <w:r>
        <w:t>54</w:t>
      </w:r>
      <w:r>
        <w:fldChar w:fldCharType="end"/>
      </w:r>
      <w:r>
        <w:fldChar w:fldCharType="end"/>
      </w:r>
    </w:p>
    <w:p>
      <w:pPr>
        <w:pStyle w:val="14"/>
        <w:tabs>
          <w:tab w:val="right" w:leader="dot" w:pos="9018"/>
        </w:tabs>
        <w:rPr>
          <w:kern w:val="2"/>
          <w:sz w:val="21"/>
        </w:rPr>
      </w:pPr>
      <w:r>
        <w:fldChar w:fldCharType="begin"/>
      </w:r>
      <w:r>
        <w:instrText xml:space="preserve"> HYPERLINK \l "_Toc515980410" </w:instrText>
      </w:r>
      <w:r>
        <w:fldChar w:fldCharType="separate"/>
      </w:r>
      <w:r>
        <w:rPr>
          <w:rStyle w:val="18"/>
        </w:rPr>
        <w:t>8.2</w:t>
      </w:r>
      <w:r>
        <w:rPr>
          <w:rStyle w:val="18"/>
          <w:rFonts w:hint="eastAsia"/>
        </w:rPr>
        <w:t>绿色建筑目标</w:t>
      </w:r>
      <w:r>
        <w:tab/>
      </w:r>
      <w:r>
        <w:fldChar w:fldCharType="begin"/>
      </w:r>
      <w:r>
        <w:instrText xml:space="preserve"> PAGEREF _Toc515980410 \h </w:instrText>
      </w:r>
      <w:r>
        <w:fldChar w:fldCharType="separate"/>
      </w:r>
      <w:r>
        <w:t>54</w:t>
      </w:r>
      <w:r>
        <w:fldChar w:fldCharType="end"/>
      </w:r>
      <w:r>
        <w:fldChar w:fldCharType="end"/>
      </w:r>
    </w:p>
    <w:p>
      <w:pPr>
        <w:pStyle w:val="14"/>
        <w:tabs>
          <w:tab w:val="right" w:leader="dot" w:pos="9018"/>
        </w:tabs>
        <w:rPr>
          <w:kern w:val="2"/>
          <w:sz w:val="21"/>
        </w:rPr>
      </w:pPr>
      <w:r>
        <w:fldChar w:fldCharType="begin"/>
      </w:r>
      <w:r>
        <w:instrText xml:space="preserve"> HYPERLINK \l "_Toc515980411" </w:instrText>
      </w:r>
      <w:r>
        <w:fldChar w:fldCharType="separate"/>
      </w:r>
      <w:r>
        <w:rPr>
          <w:rStyle w:val="18"/>
        </w:rPr>
        <w:t>8.3</w:t>
      </w:r>
      <w:r>
        <w:rPr>
          <w:rStyle w:val="18"/>
          <w:rFonts w:hint="eastAsia"/>
        </w:rPr>
        <w:t>绿色建筑措施</w:t>
      </w:r>
      <w:r>
        <w:tab/>
      </w:r>
      <w:r>
        <w:fldChar w:fldCharType="begin"/>
      </w:r>
      <w:r>
        <w:instrText xml:space="preserve"> PAGEREF _Toc515980411 \h </w:instrText>
      </w:r>
      <w:r>
        <w:fldChar w:fldCharType="separate"/>
      </w:r>
      <w:r>
        <w:t>55</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"_Toc515980412" </w:instrText>
      </w:r>
      <w:r>
        <w:fldChar w:fldCharType="separate"/>
      </w:r>
      <w:r>
        <w:rPr>
          <w:rStyle w:val="18"/>
          <w:rFonts w:hint="eastAsia" w:ascii="宋体" w:hAnsi="宋体"/>
          <w:b/>
          <w:sz w:val="28"/>
          <w:szCs w:val="28"/>
        </w:rPr>
        <w:t>第九章</w:t>
      </w:r>
      <w:r>
        <w:rPr>
          <w:rStyle w:val="18"/>
          <w:rFonts w:ascii="宋体" w:hAnsi="宋体"/>
          <w:b/>
          <w:sz w:val="28"/>
          <w:szCs w:val="28"/>
        </w:rPr>
        <w:t xml:space="preserve">   </w:t>
      </w:r>
      <w:r>
        <w:rPr>
          <w:rStyle w:val="18"/>
          <w:rFonts w:hint="eastAsia" w:ascii="宋体" w:hAnsi="宋体"/>
          <w:b/>
          <w:sz w:val="28"/>
          <w:szCs w:val="28"/>
        </w:rPr>
        <w:t>海绵城市</w:t>
      </w:r>
      <w:r>
        <w:tab/>
      </w:r>
      <w:r>
        <w:fldChar w:fldCharType="begin"/>
      </w:r>
      <w:r>
        <w:instrText xml:space="preserve"> PAGEREF _Toc515980412 \h </w:instrText>
      </w:r>
      <w:r>
        <w:fldChar w:fldCharType="separate"/>
      </w:r>
      <w:r>
        <w:t>57</w:t>
      </w:r>
      <w:r>
        <w:fldChar w:fldCharType="end"/>
      </w:r>
      <w:r>
        <w:fldChar w:fldCharType="end"/>
      </w:r>
    </w:p>
    <w:p>
      <w:pPr>
        <w:pStyle w:val="14"/>
        <w:tabs>
          <w:tab w:val="right" w:leader="dot" w:pos="9018"/>
        </w:tabs>
        <w:rPr>
          <w:kern w:val="2"/>
          <w:sz w:val="21"/>
        </w:rPr>
      </w:pPr>
      <w:r>
        <w:fldChar w:fldCharType="begin"/>
      </w:r>
      <w:r>
        <w:instrText xml:space="preserve"> HYPERLINK \l "_Toc515980413" </w:instrText>
      </w:r>
      <w:r>
        <w:fldChar w:fldCharType="separate"/>
      </w:r>
      <w:r>
        <w:rPr>
          <w:rStyle w:val="18"/>
        </w:rPr>
        <w:t>9.1</w:t>
      </w:r>
      <w:r>
        <w:rPr>
          <w:rStyle w:val="18"/>
          <w:rFonts w:hint="eastAsia"/>
        </w:rPr>
        <w:t>项目背景</w:t>
      </w:r>
      <w:r>
        <w:tab/>
      </w:r>
      <w:r>
        <w:fldChar w:fldCharType="begin"/>
      </w:r>
      <w:r>
        <w:instrText xml:space="preserve"> PAGEREF _Toc515980413 \h </w:instrText>
      </w:r>
      <w:r>
        <w:fldChar w:fldCharType="separate"/>
      </w:r>
      <w:r>
        <w:t>57</w:t>
      </w:r>
      <w:r>
        <w:fldChar w:fldCharType="end"/>
      </w:r>
      <w:r>
        <w:fldChar w:fldCharType="end"/>
      </w:r>
    </w:p>
    <w:p>
      <w:pPr>
        <w:pStyle w:val="14"/>
        <w:tabs>
          <w:tab w:val="right" w:leader="dot" w:pos="9018"/>
        </w:tabs>
        <w:rPr>
          <w:kern w:val="2"/>
          <w:sz w:val="21"/>
        </w:rPr>
      </w:pPr>
      <w:r>
        <w:fldChar w:fldCharType="begin"/>
      </w:r>
      <w:r>
        <w:instrText xml:space="preserve"> HYPERLINK \l "_Toc515980414" </w:instrText>
      </w:r>
      <w:r>
        <w:fldChar w:fldCharType="separate"/>
      </w:r>
      <w:r>
        <w:rPr>
          <w:rStyle w:val="18"/>
        </w:rPr>
        <w:t>9.2</w:t>
      </w:r>
      <w:r>
        <w:rPr>
          <w:rStyle w:val="18"/>
          <w:rFonts w:hint="eastAsia"/>
        </w:rPr>
        <w:t>规划依据</w:t>
      </w:r>
      <w:r>
        <w:tab/>
      </w:r>
      <w:r>
        <w:fldChar w:fldCharType="begin"/>
      </w:r>
      <w:r>
        <w:instrText xml:space="preserve"> PAGEREF _Toc515980414 \h </w:instrText>
      </w:r>
      <w:r>
        <w:fldChar w:fldCharType="separate"/>
      </w:r>
      <w:r>
        <w:t>59</w:t>
      </w:r>
      <w:r>
        <w:fldChar w:fldCharType="end"/>
      </w:r>
      <w:r>
        <w:fldChar w:fldCharType="end"/>
      </w:r>
    </w:p>
    <w:p>
      <w:pPr>
        <w:pStyle w:val="14"/>
        <w:tabs>
          <w:tab w:val="right" w:leader="dot" w:pos="9018"/>
        </w:tabs>
        <w:rPr>
          <w:kern w:val="2"/>
          <w:sz w:val="21"/>
        </w:rPr>
      </w:pPr>
      <w:r>
        <w:fldChar w:fldCharType="begin"/>
      </w:r>
      <w:r>
        <w:instrText xml:space="preserve"> HYPERLINK \l "_Toc515980415" </w:instrText>
      </w:r>
      <w:r>
        <w:fldChar w:fldCharType="separate"/>
      </w:r>
      <w:r>
        <w:rPr>
          <w:rStyle w:val="18"/>
        </w:rPr>
        <w:t>9.3</w:t>
      </w:r>
      <w:r>
        <w:rPr>
          <w:rStyle w:val="18"/>
          <w:rFonts w:hint="eastAsia"/>
        </w:rPr>
        <w:t>规划范围与期限</w:t>
      </w:r>
      <w:r>
        <w:tab/>
      </w:r>
      <w:r>
        <w:fldChar w:fldCharType="begin"/>
      </w:r>
      <w:r>
        <w:instrText xml:space="preserve"> PAGEREF _Toc515980415 \h </w:instrText>
      </w:r>
      <w:r>
        <w:fldChar w:fldCharType="separate"/>
      </w:r>
      <w:r>
        <w:t>60</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"_Toc515980416" </w:instrText>
      </w:r>
      <w:r>
        <w:fldChar w:fldCharType="separate"/>
      </w:r>
      <w:r>
        <w:rPr>
          <w:rStyle w:val="18"/>
          <w:rFonts w:hint="eastAsia" w:ascii="宋体" w:hAnsi="宋体"/>
          <w:b/>
          <w:sz w:val="28"/>
          <w:szCs w:val="28"/>
        </w:rPr>
        <w:t>第十章</w:t>
      </w:r>
      <w:r>
        <w:rPr>
          <w:rStyle w:val="18"/>
          <w:rFonts w:ascii="宋体" w:hAnsi="宋体"/>
          <w:b/>
          <w:sz w:val="28"/>
          <w:szCs w:val="28"/>
        </w:rPr>
        <w:t xml:space="preserve">  </w:t>
      </w:r>
      <w:r>
        <w:rPr>
          <w:rStyle w:val="18"/>
          <w:rFonts w:hint="eastAsia" w:ascii="宋体" w:hAnsi="宋体"/>
          <w:b/>
          <w:sz w:val="28"/>
          <w:szCs w:val="28"/>
        </w:rPr>
        <w:t>燃气工程</w:t>
      </w:r>
      <w:r>
        <w:tab/>
      </w:r>
      <w:r>
        <w:fldChar w:fldCharType="begin"/>
      </w:r>
      <w:r>
        <w:instrText xml:space="preserve"> PAGEREF _Toc515980416 \h </w:instrText>
      </w:r>
      <w:r>
        <w:fldChar w:fldCharType="separate"/>
      </w:r>
      <w:r>
        <w:t>65</w:t>
      </w:r>
      <w:r>
        <w:fldChar w:fldCharType="end"/>
      </w:r>
      <w:r>
        <w:fldChar w:fldCharType="end"/>
      </w:r>
    </w:p>
    <w:p>
      <w:pPr>
        <w:pStyle w:val="14"/>
        <w:tabs>
          <w:tab w:val="right" w:leader="dot" w:pos="9018"/>
        </w:tabs>
        <w:rPr>
          <w:kern w:val="2"/>
          <w:sz w:val="21"/>
        </w:rPr>
      </w:pPr>
      <w:r>
        <w:fldChar w:fldCharType="begin"/>
      </w:r>
      <w:r>
        <w:instrText xml:space="preserve"> HYPERLINK \l "_Toc515980417" </w:instrText>
      </w:r>
      <w:r>
        <w:fldChar w:fldCharType="separate"/>
      </w:r>
      <w:r>
        <w:rPr>
          <w:rStyle w:val="18"/>
        </w:rPr>
        <w:t xml:space="preserve">10.1 </w:t>
      </w:r>
      <w:r>
        <w:rPr>
          <w:rStyle w:val="18"/>
          <w:rFonts w:hint="eastAsia"/>
        </w:rPr>
        <w:t>设计依据</w:t>
      </w:r>
      <w:r>
        <w:tab/>
      </w:r>
      <w:r>
        <w:fldChar w:fldCharType="begin"/>
      </w:r>
      <w:r>
        <w:instrText xml:space="preserve"> PAGEREF _Toc515980417 \h </w:instrText>
      </w:r>
      <w:r>
        <w:fldChar w:fldCharType="separate"/>
      </w:r>
      <w:r>
        <w:t>65</w:t>
      </w:r>
      <w:r>
        <w:fldChar w:fldCharType="end"/>
      </w:r>
      <w:r>
        <w:fldChar w:fldCharType="end"/>
      </w:r>
    </w:p>
    <w:p>
      <w:pPr>
        <w:pStyle w:val="14"/>
        <w:tabs>
          <w:tab w:val="right" w:leader="dot" w:pos="9018"/>
        </w:tabs>
        <w:rPr>
          <w:kern w:val="2"/>
          <w:sz w:val="21"/>
        </w:rPr>
      </w:pPr>
      <w:r>
        <w:fldChar w:fldCharType="begin"/>
      </w:r>
      <w:r>
        <w:instrText xml:space="preserve"> HYPERLINK \l "_Toc515980418" </w:instrText>
      </w:r>
      <w:r>
        <w:fldChar w:fldCharType="separate"/>
      </w:r>
      <w:r>
        <w:rPr>
          <w:rStyle w:val="18"/>
        </w:rPr>
        <w:t xml:space="preserve">10.2 </w:t>
      </w:r>
      <w:r>
        <w:rPr>
          <w:rStyle w:val="18"/>
          <w:rFonts w:hint="eastAsia"/>
        </w:rPr>
        <w:t>设计内容及参数</w:t>
      </w:r>
      <w:r>
        <w:tab/>
      </w:r>
      <w:r>
        <w:fldChar w:fldCharType="begin"/>
      </w:r>
      <w:r>
        <w:instrText xml:space="preserve"> PAGEREF _Toc515980418 \h </w:instrText>
      </w:r>
      <w:r>
        <w:fldChar w:fldCharType="separate"/>
      </w:r>
      <w:r>
        <w:t>66</w:t>
      </w:r>
      <w:r>
        <w:fldChar w:fldCharType="end"/>
      </w:r>
      <w:r>
        <w:fldChar w:fldCharType="end"/>
      </w:r>
    </w:p>
    <w:p>
      <w:pPr>
        <w:pStyle w:val="14"/>
        <w:tabs>
          <w:tab w:val="right" w:leader="dot" w:pos="9018"/>
        </w:tabs>
        <w:rPr>
          <w:kern w:val="2"/>
          <w:sz w:val="21"/>
        </w:rPr>
      </w:pPr>
      <w:r>
        <w:fldChar w:fldCharType="begin"/>
      </w:r>
      <w:r>
        <w:instrText xml:space="preserve"> HYPERLINK \l "_Toc515980419" </w:instrText>
      </w:r>
      <w:r>
        <w:fldChar w:fldCharType="separate"/>
      </w:r>
      <w:r>
        <w:rPr>
          <w:rStyle w:val="18"/>
        </w:rPr>
        <w:t xml:space="preserve">10.3 </w:t>
      </w:r>
      <w:r>
        <w:rPr>
          <w:rStyle w:val="18"/>
          <w:rFonts w:hint="eastAsia"/>
        </w:rPr>
        <w:t>施工要求</w:t>
      </w:r>
      <w:r>
        <w:tab/>
      </w:r>
      <w:r>
        <w:fldChar w:fldCharType="begin"/>
      </w:r>
      <w:r>
        <w:instrText xml:space="preserve"> PAGEREF _Toc515980419 \h </w:instrText>
      </w:r>
      <w:r>
        <w:fldChar w:fldCharType="separate"/>
      </w:r>
      <w:r>
        <w:t>67</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"_Toc515980420" </w:instrText>
      </w:r>
      <w:r>
        <w:fldChar w:fldCharType="separate"/>
      </w:r>
      <w:r>
        <w:rPr>
          <w:rStyle w:val="18"/>
          <w:rFonts w:hint="eastAsia" w:ascii="宋体" w:hAnsi="宋体"/>
          <w:b/>
          <w:sz w:val="28"/>
          <w:szCs w:val="28"/>
        </w:rPr>
        <w:t>第十一章</w:t>
      </w:r>
      <w:r>
        <w:rPr>
          <w:rStyle w:val="18"/>
          <w:rFonts w:ascii="宋体" w:hAnsi="宋体"/>
          <w:b/>
          <w:sz w:val="28"/>
          <w:szCs w:val="28"/>
        </w:rPr>
        <w:t xml:space="preserve">  </w:t>
      </w:r>
      <w:r>
        <w:rPr>
          <w:rStyle w:val="18"/>
          <w:rFonts w:hint="eastAsia" w:ascii="宋体" w:hAnsi="宋体"/>
          <w:b/>
          <w:sz w:val="28"/>
          <w:szCs w:val="28"/>
        </w:rPr>
        <w:t>环境保护与安全卫生</w:t>
      </w:r>
      <w:r>
        <w:tab/>
      </w:r>
      <w:r>
        <w:fldChar w:fldCharType="begin"/>
      </w:r>
      <w:r>
        <w:instrText xml:space="preserve"> PAGEREF _Toc515980420 \h </w:instrText>
      </w:r>
      <w:r>
        <w:fldChar w:fldCharType="separate"/>
      </w:r>
      <w:r>
        <w:t>70</w:t>
      </w:r>
      <w:r>
        <w:fldChar w:fldCharType="end"/>
      </w:r>
      <w:r>
        <w:fldChar w:fldCharType="end"/>
      </w:r>
    </w:p>
    <w:p>
      <w:pPr>
        <w:pStyle w:val="14"/>
        <w:tabs>
          <w:tab w:val="right" w:leader="dot" w:pos="9018"/>
        </w:tabs>
        <w:rPr>
          <w:kern w:val="2"/>
          <w:sz w:val="21"/>
        </w:rPr>
      </w:pPr>
      <w:r>
        <w:fldChar w:fldCharType="begin"/>
      </w:r>
      <w:r>
        <w:instrText xml:space="preserve"> HYPERLINK \l "_Toc515980421" </w:instrText>
      </w:r>
      <w:r>
        <w:fldChar w:fldCharType="separate"/>
      </w:r>
      <w:r>
        <w:rPr>
          <w:rStyle w:val="18"/>
        </w:rPr>
        <w:t xml:space="preserve">11.1  </w:t>
      </w:r>
      <w:r>
        <w:rPr>
          <w:rStyle w:val="18"/>
          <w:rFonts w:hint="eastAsia"/>
        </w:rPr>
        <w:t>项目所在地区的环境概况</w:t>
      </w:r>
      <w:r>
        <w:tab/>
      </w:r>
      <w:r>
        <w:fldChar w:fldCharType="begin"/>
      </w:r>
      <w:r>
        <w:instrText xml:space="preserve"> PAGEREF _Toc515980421 \h </w:instrText>
      </w:r>
      <w:r>
        <w:fldChar w:fldCharType="separate"/>
      </w:r>
      <w:r>
        <w:t>70</w:t>
      </w:r>
      <w:r>
        <w:fldChar w:fldCharType="end"/>
      </w:r>
      <w:r>
        <w:fldChar w:fldCharType="end"/>
      </w:r>
    </w:p>
    <w:p>
      <w:pPr>
        <w:pStyle w:val="14"/>
        <w:tabs>
          <w:tab w:val="right" w:leader="dot" w:pos="9018"/>
        </w:tabs>
        <w:rPr>
          <w:kern w:val="2"/>
          <w:sz w:val="21"/>
        </w:rPr>
      </w:pPr>
      <w:r>
        <w:fldChar w:fldCharType="begin"/>
      </w:r>
      <w:r>
        <w:instrText xml:space="preserve"> HYPERLINK \l "_Toc515980422" </w:instrText>
      </w:r>
      <w:r>
        <w:fldChar w:fldCharType="separate"/>
      </w:r>
      <w:r>
        <w:rPr>
          <w:rStyle w:val="18"/>
        </w:rPr>
        <w:t xml:space="preserve">11.2  </w:t>
      </w:r>
      <w:r>
        <w:rPr>
          <w:rStyle w:val="18"/>
          <w:rFonts w:hint="eastAsia"/>
        </w:rPr>
        <w:t>执行的环境质量标准及排放标准</w:t>
      </w:r>
      <w:r>
        <w:tab/>
      </w:r>
      <w:r>
        <w:fldChar w:fldCharType="begin"/>
      </w:r>
      <w:r>
        <w:instrText xml:space="preserve"> PAGEREF _Toc515980422 \h </w:instrText>
      </w:r>
      <w:r>
        <w:fldChar w:fldCharType="separate"/>
      </w:r>
      <w:r>
        <w:t>71</w:t>
      </w:r>
      <w:r>
        <w:fldChar w:fldCharType="end"/>
      </w:r>
      <w:r>
        <w:fldChar w:fldCharType="end"/>
      </w:r>
    </w:p>
    <w:p>
      <w:pPr>
        <w:pStyle w:val="14"/>
        <w:tabs>
          <w:tab w:val="right" w:leader="dot" w:pos="9018"/>
        </w:tabs>
        <w:rPr>
          <w:kern w:val="2"/>
          <w:sz w:val="21"/>
        </w:rPr>
      </w:pPr>
      <w:r>
        <w:fldChar w:fldCharType="begin"/>
      </w:r>
      <w:r>
        <w:instrText xml:space="preserve"> HYPERLINK \l "_Toc515980423" </w:instrText>
      </w:r>
      <w:r>
        <w:fldChar w:fldCharType="separate"/>
      </w:r>
      <w:r>
        <w:rPr>
          <w:rStyle w:val="18"/>
        </w:rPr>
        <w:t xml:space="preserve">11.3  </w:t>
      </w:r>
      <w:r>
        <w:rPr>
          <w:rStyle w:val="18"/>
          <w:rFonts w:hint="eastAsia"/>
        </w:rPr>
        <w:t>拟建项目产生的主要污染物</w:t>
      </w:r>
      <w:r>
        <w:tab/>
      </w:r>
      <w:r>
        <w:fldChar w:fldCharType="begin"/>
      </w:r>
      <w:r>
        <w:instrText xml:space="preserve"> PAGEREF _Toc515980423 \h </w:instrText>
      </w:r>
      <w:r>
        <w:fldChar w:fldCharType="separate"/>
      </w:r>
      <w:r>
        <w:t>71</w:t>
      </w:r>
      <w:r>
        <w:fldChar w:fldCharType="end"/>
      </w:r>
      <w:r>
        <w:fldChar w:fldCharType="end"/>
      </w:r>
    </w:p>
    <w:p>
      <w:pPr>
        <w:pStyle w:val="14"/>
        <w:tabs>
          <w:tab w:val="right" w:leader="dot" w:pos="9018"/>
        </w:tabs>
        <w:rPr>
          <w:kern w:val="2"/>
          <w:sz w:val="21"/>
        </w:rPr>
      </w:pPr>
      <w:r>
        <w:fldChar w:fldCharType="begin"/>
      </w:r>
      <w:r>
        <w:instrText xml:space="preserve"> HYPERLINK \l "_Toc515980424" </w:instrText>
      </w:r>
      <w:r>
        <w:fldChar w:fldCharType="separate"/>
      </w:r>
      <w:r>
        <w:rPr>
          <w:rStyle w:val="18"/>
        </w:rPr>
        <w:t xml:space="preserve">11.4  </w:t>
      </w:r>
      <w:r>
        <w:rPr>
          <w:rStyle w:val="18"/>
          <w:rFonts w:hint="eastAsia"/>
        </w:rPr>
        <w:t>污染治理措施</w:t>
      </w:r>
      <w:r>
        <w:tab/>
      </w:r>
      <w:r>
        <w:fldChar w:fldCharType="begin"/>
      </w:r>
      <w:r>
        <w:instrText xml:space="preserve"> PAGEREF _Toc515980424 \h </w:instrText>
      </w:r>
      <w:r>
        <w:fldChar w:fldCharType="separate"/>
      </w:r>
      <w:r>
        <w:t>72</w:t>
      </w:r>
      <w:r>
        <w:fldChar w:fldCharType="end"/>
      </w:r>
      <w:r>
        <w:fldChar w:fldCharType="end"/>
      </w:r>
    </w:p>
    <w:p>
      <w:pPr>
        <w:pStyle w:val="14"/>
        <w:tabs>
          <w:tab w:val="right" w:leader="dot" w:pos="9018"/>
        </w:tabs>
        <w:rPr>
          <w:kern w:val="2"/>
          <w:sz w:val="21"/>
        </w:rPr>
      </w:pPr>
      <w:r>
        <w:fldChar w:fldCharType="begin"/>
      </w:r>
      <w:r>
        <w:instrText xml:space="preserve"> HYPERLINK \l "_Toc515980425" </w:instrText>
      </w:r>
      <w:r>
        <w:fldChar w:fldCharType="separate"/>
      </w:r>
      <w:r>
        <w:rPr>
          <w:rStyle w:val="18"/>
        </w:rPr>
        <w:t>11.5</w:t>
      </w:r>
      <w:r>
        <w:rPr>
          <w:rStyle w:val="18"/>
          <w:rFonts w:hint="eastAsia"/>
        </w:rPr>
        <w:t>水土保持</w:t>
      </w:r>
      <w:r>
        <w:tab/>
      </w:r>
      <w:r>
        <w:fldChar w:fldCharType="begin"/>
      </w:r>
      <w:r>
        <w:instrText xml:space="preserve"> PAGEREF _Toc515980425 \h </w:instrText>
      </w:r>
      <w:r>
        <w:fldChar w:fldCharType="separate"/>
      </w:r>
      <w:r>
        <w:t>73</w:t>
      </w:r>
      <w:r>
        <w:fldChar w:fldCharType="end"/>
      </w:r>
      <w:r>
        <w:fldChar w:fldCharType="end"/>
      </w:r>
    </w:p>
    <w:p>
      <w:pPr>
        <w:pStyle w:val="14"/>
        <w:tabs>
          <w:tab w:val="right" w:leader="dot" w:pos="9018"/>
        </w:tabs>
        <w:rPr>
          <w:kern w:val="2"/>
          <w:sz w:val="21"/>
        </w:rPr>
      </w:pPr>
      <w:r>
        <w:fldChar w:fldCharType="begin"/>
      </w:r>
      <w:r>
        <w:instrText xml:space="preserve"> HYPERLINK \l "_Toc515980426" </w:instrText>
      </w:r>
      <w:r>
        <w:fldChar w:fldCharType="separate"/>
      </w:r>
      <w:r>
        <w:rPr>
          <w:rStyle w:val="18"/>
        </w:rPr>
        <w:t>11.6</w:t>
      </w:r>
      <w:r>
        <w:rPr>
          <w:rStyle w:val="18"/>
          <w:rFonts w:hint="eastAsia"/>
        </w:rPr>
        <w:t>结论</w:t>
      </w:r>
      <w:r>
        <w:tab/>
      </w:r>
      <w:r>
        <w:fldChar w:fldCharType="begin"/>
      </w:r>
      <w:r>
        <w:instrText xml:space="preserve"> PAGEREF _Toc515980426 \h </w:instrText>
      </w:r>
      <w:r>
        <w:fldChar w:fldCharType="separate"/>
      </w:r>
      <w:r>
        <w:t>74</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"_Toc515980427" </w:instrText>
      </w:r>
      <w:r>
        <w:fldChar w:fldCharType="separate"/>
      </w:r>
      <w:r>
        <w:rPr>
          <w:rStyle w:val="18"/>
          <w:rFonts w:hint="eastAsia" w:ascii="宋体" w:hAnsi="宋体"/>
          <w:b/>
          <w:sz w:val="28"/>
          <w:szCs w:val="28"/>
        </w:rPr>
        <w:t>第十二章</w:t>
      </w:r>
      <w:r>
        <w:rPr>
          <w:rStyle w:val="18"/>
          <w:rFonts w:ascii="宋体" w:hAnsi="宋体"/>
          <w:b/>
          <w:sz w:val="28"/>
          <w:szCs w:val="28"/>
        </w:rPr>
        <w:t xml:space="preserve">  </w:t>
      </w:r>
      <w:r>
        <w:rPr>
          <w:rStyle w:val="18"/>
          <w:rFonts w:hint="eastAsia" w:ascii="宋体" w:hAnsi="宋体"/>
          <w:b/>
          <w:sz w:val="28"/>
          <w:szCs w:val="28"/>
        </w:rPr>
        <w:t>安全防范</w:t>
      </w:r>
      <w:r>
        <w:tab/>
      </w:r>
      <w:r>
        <w:fldChar w:fldCharType="begin"/>
      </w:r>
      <w:r>
        <w:instrText xml:space="preserve"> PAGEREF _Toc515980427 \h </w:instrText>
      </w:r>
      <w:r>
        <w:fldChar w:fldCharType="separate"/>
      </w:r>
      <w:r>
        <w:t>75</w:t>
      </w:r>
      <w:r>
        <w:fldChar w:fldCharType="end"/>
      </w:r>
      <w:r>
        <w:fldChar w:fldCharType="end"/>
      </w:r>
    </w:p>
    <w:p>
      <w:pPr>
        <w:pStyle w:val="14"/>
        <w:tabs>
          <w:tab w:val="right" w:leader="dot" w:pos="9018"/>
        </w:tabs>
        <w:rPr>
          <w:kern w:val="2"/>
          <w:sz w:val="21"/>
        </w:rPr>
      </w:pPr>
      <w:r>
        <w:fldChar w:fldCharType="begin"/>
      </w:r>
      <w:r>
        <w:instrText xml:space="preserve"> HYPERLINK \l "_Toc515980428" </w:instrText>
      </w:r>
      <w:r>
        <w:fldChar w:fldCharType="separate"/>
      </w:r>
      <w:r>
        <w:rPr>
          <w:rStyle w:val="18"/>
        </w:rPr>
        <w:t xml:space="preserve">12.1  </w:t>
      </w:r>
      <w:r>
        <w:rPr>
          <w:rStyle w:val="18"/>
          <w:rFonts w:hint="eastAsia"/>
        </w:rPr>
        <w:t>危害因素和危害程度分析</w:t>
      </w:r>
      <w:r>
        <w:tab/>
      </w:r>
      <w:r>
        <w:fldChar w:fldCharType="begin"/>
      </w:r>
      <w:r>
        <w:instrText xml:space="preserve"> PAGEREF _Toc515980428 \h </w:instrText>
      </w:r>
      <w:r>
        <w:fldChar w:fldCharType="separate"/>
      </w:r>
      <w:r>
        <w:t>75</w:t>
      </w:r>
      <w:r>
        <w:fldChar w:fldCharType="end"/>
      </w:r>
      <w:r>
        <w:fldChar w:fldCharType="end"/>
      </w:r>
    </w:p>
    <w:p>
      <w:pPr>
        <w:pStyle w:val="14"/>
        <w:tabs>
          <w:tab w:val="right" w:leader="dot" w:pos="9018"/>
        </w:tabs>
        <w:rPr>
          <w:kern w:val="2"/>
          <w:sz w:val="21"/>
        </w:rPr>
      </w:pPr>
      <w:r>
        <w:fldChar w:fldCharType="begin"/>
      </w:r>
      <w:r>
        <w:instrText xml:space="preserve"> HYPERLINK \l "_Toc515980429" </w:instrText>
      </w:r>
      <w:r>
        <w:fldChar w:fldCharType="separate"/>
      </w:r>
      <w:r>
        <w:rPr>
          <w:rStyle w:val="18"/>
        </w:rPr>
        <w:t xml:space="preserve">12.2  </w:t>
      </w:r>
      <w:r>
        <w:rPr>
          <w:rStyle w:val="18"/>
          <w:rFonts w:hint="eastAsia"/>
        </w:rPr>
        <w:t>安全措施方案</w:t>
      </w:r>
      <w:r>
        <w:tab/>
      </w:r>
      <w:r>
        <w:fldChar w:fldCharType="begin"/>
      </w:r>
      <w:r>
        <w:instrText xml:space="preserve"> PAGEREF _Toc515980429 \h </w:instrText>
      </w:r>
      <w:r>
        <w:fldChar w:fldCharType="separate"/>
      </w:r>
      <w:r>
        <w:t>75</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"_Toc515980430" </w:instrText>
      </w:r>
      <w:r>
        <w:fldChar w:fldCharType="separate"/>
      </w:r>
      <w:r>
        <w:rPr>
          <w:rStyle w:val="18"/>
          <w:rFonts w:hint="eastAsia" w:ascii="宋体" w:hAnsi="宋体"/>
          <w:b/>
          <w:sz w:val="28"/>
          <w:szCs w:val="28"/>
        </w:rPr>
        <w:t>第十三章</w:t>
      </w:r>
      <w:r>
        <w:rPr>
          <w:rStyle w:val="18"/>
          <w:rFonts w:ascii="宋体" w:hAnsi="宋体"/>
          <w:b/>
          <w:sz w:val="28"/>
          <w:szCs w:val="28"/>
        </w:rPr>
        <w:t xml:space="preserve"> </w:t>
      </w:r>
      <w:r>
        <w:rPr>
          <w:rStyle w:val="18"/>
          <w:rFonts w:hint="eastAsia" w:ascii="宋体" w:hAnsi="宋体"/>
          <w:b/>
          <w:sz w:val="28"/>
          <w:szCs w:val="28"/>
        </w:rPr>
        <w:t>组织机构与人员配备</w:t>
      </w:r>
      <w:r>
        <w:tab/>
      </w:r>
      <w:r>
        <w:fldChar w:fldCharType="begin"/>
      </w:r>
      <w:r>
        <w:instrText xml:space="preserve"> PAGEREF _Toc515980430 \h </w:instrText>
      </w:r>
      <w:r>
        <w:fldChar w:fldCharType="separate"/>
      </w:r>
      <w:r>
        <w:t>77</w:t>
      </w:r>
      <w:r>
        <w:fldChar w:fldCharType="end"/>
      </w:r>
      <w:r>
        <w:fldChar w:fldCharType="end"/>
      </w:r>
    </w:p>
    <w:p>
      <w:pPr>
        <w:pStyle w:val="14"/>
        <w:tabs>
          <w:tab w:val="right" w:leader="dot" w:pos="9018"/>
        </w:tabs>
        <w:rPr>
          <w:kern w:val="2"/>
          <w:sz w:val="21"/>
        </w:rPr>
      </w:pPr>
      <w:r>
        <w:fldChar w:fldCharType="begin"/>
      </w:r>
      <w:r>
        <w:instrText xml:space="preserve"> HYPERLINK \l "_Toc515980431" </w:instrText>
      </w:r>
      <w:r>
        <w:fldChar w:fldCharType="separate"/>
      </w:r>
      <w:r>
        <w:rPr>
          <w:rStyle w:val="18"/>
        </w:rPr>
        <w:t xml:space="preserve">13.1  </w:t>
      </w:r>
      <w:r>
        <w:rPr>
          <w:rStyle w:val="18"/>
          <w:rFonts w:hint="eastAsia"/>
        </w:rPr>
        <w:t>使用单位</w:t>
      </w:r>
      <w:r>
        <w:tab/>
      </w:r>
      <w:r>
        <w:fldChar w:fldCharType="begin"/>
      </w:r>
      <w:r>
        <w:instrText xml:space="preserve"> PAGEREF _Toc515980431 \h </w:instrText>
      </w:r>
      <w:r>
        <w:fldChar w:fldCharType="separate"/>
      </w:r>
      <w:r>
        <w:t>77</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"_Toc515980432" </w:instrText>
      </w:r>
      <w:r>
        <w:fldChar w:fldCharType="separate"/>
      </w:r>
      <w:r>
        <w:rPr>
          <w:rStyle w:val="18"/>
          <w:rFonts w:hint="eastAsia" w:ascii="宋体" w:hAnsi="宋体"/>
          <w:b/>
          <w:sz w:val="28"/>
          <w:szCs w:val="28"/>
        </w:rPr>
        <w:t>第十四章</w:t>
      </w:r>
      <w:r>
        <w:rPr>
          <w:rStyle w:val="18"/>
          <w:rFonts w:ascii="宋体" w:hAnsi="宋体"/>
          <w:b/>
          <w:sz w:val="28"/>
          <w:szCs w:val="28"/>
        </w:rPr>
        <w:t xml:space="preserve">  </w:t>
      </w:r>
      <w:r>
        <w:rPr>
          <w:rStyle w:val="18"/>
          <w:rFonts w:hint="eastAsia" w:ascii="宋体" w:hAnsi="宋体"/>
          <w:b/>
          <w:sz w:val="28"/>
          <w:szCs w:val="28"/>
        </w:rPr>
        <w:t>建设进度计划与工程招投标</w:t>
      </w:r>
      <w:r>
        <w:tab/>
      </w:r>
      <w:r>
        <w:fldChar w:fldCharType="begin"/>
      </w:r>
      <w:r>
        <w:instrText xml:space="preserve"> PAGEREF _Toc515980432 \h </w:instrText>
      </w:r>
      <w:r>
        <w:fldChar w:fldCharType="separate"/>
      </w:r>
      <w:r>
        <w:t>82</w:t>
      </w:r>
      <w:r>
        <w:fldChar w:fldCharType="end"/>
      </w:r>
      <w:r>
        <w:fldChar w:fldCharType="end"/>
      </w:r>
    </w:p>
    <w:p>
      <w:pPr>
        <w:pStyle w:val="14"/>
        <w:tabs>
          <w:tab w:val="right" w:leader="dot" w:pos="9018"/>
        </w:tabs>
        <w:rPr>
          <w:kern w:val="2"/>
          <w:sz w:val="21"/>
        </w:rPr>
      </w:pPr>
      <w:r>
        <w:fldChar w:fldCharType="begin"/>
      </w:r>
      <w:r>
        <w:instrText xml:space="preserve"> HYPERLINK \l "_Toc515980433" </w:instrText>
      </w:r>
      <w:r>
        <w:fldChar w:fldCharType="separate"/>
      </w:r>
      <w:r>
        <w:rPr>
          <w:rStyle w:val="18"/>
        </w:rPr>
        <w:t xml:space="preserve">14.1  </w:t>
      </w:r>
      <w:r>
        <w:rPr>
          <w:rStyle w:val="18"/>
          <w:rFonts w:hint="eastAsia"/>
        </w:rPr>
        <w:t>项目建设进度计划</w:t>
      </w:r>
      <w:r>
        <w:tab/>
      </w:r>
      <w:r>
        <w:fldChar w:fldCharType="begin"/>
      </w:r>
      <w:r>
        <w:instrText xml:space="preserve"> PAGEREF _Toc515980433 \h </w:instrText>
      </w:r>
      <w:r>
        <w:fldChar w:fldCharType="separate"/>
      </w:r>
      <w:r>
        <w:t>82</w:t>
      </w:r>
      <w:r>
        <w:fldChar w:fldCharType="end"/>
      </w:r>
      <w:r>
        <w:fldChar w:fldCharType="end"/>
      </w:r>
    </w:p>
    <w:p>
      <w:pPr>
        <w:pStyle w:val="14"/>
        <w:tabs>
          <w:tab w:val="right" w:leader="dot" w:pos="9018"/>
        </w:tabs>
        <w:rPr>
          <w:kern w:val="2"/>
          <w:sz w:val="21"/>
        </w:rPr>
      </w:pPr>
      <w:r>
        <w:fldChar w:fldCharType="begin"/>
      </w:r>
      <w:r>
        <w:instrText xml:space="preserve"> HYPERLINK \l "_Toc515980434" </w:instrText>
      </w:r>
      <w:r>
        <w:fldChar w:fldCharType="separate"/>
      </w:r>
      <w:r>
        <w:rPr>
          <w:rStyle w:val="18"/>
        </w:rPr>
        <w:t xml:space="preserve">14.2  </w:t>
      </w:r>
      <w:r>
        <w:rPr>
          <w:rStyle w:val="18"/>
          <w:rFonts w:hint="eastAsia"/>
        </w:rPr>
        <w:t>项目招投标方式和组织形式</w:t>
      </w:r>
      <w:r>
        <w:tab/>
      </w:r>
      <w:r>
        <w:fldChar w:fldCharType="begin"/>
      </w:r>
      <w:r>
        <w:instrText xml:space="preserve"> PAGEREF _Toc515980434 \h </w:instrText>
      </w:r>
      <w:r>
        <w:fldChar w:fldCharType="separate"/>
      </w:r>
      <w:r>
        <w:t>83</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"_Toc515980435" </w:instrText>
      </w:r>
      <w:r>
        <w:fldChar w:fldCharType="separate"/>
      </w:r>
      <w:r>
        <w:rPr>
          <w:rStyle w:val="18"/>
          <w:rFonts w:hint="eastAsia" w:ascii="宋体" w:hAnsi="宋体"/>
          <w:b/>
          <w:sz w:val="28"/>
          <w:szCs w:val="28"/>
        </w:rPr>
        <w:t>第十五章</w:t>
      </w:r>
      <w:r>
        <w:rPr>
          <w:rStyle w:val="18"/>
          <w:rFonts w:ascii="宋体" w:hAnsi="宋体"/>
          <w:b/>
          <w:sz w:val="28"/>
          <w:szCs w:val="28"/>
        </w:rPr>
        <w:t xml:space="preserve">  </w:t>
      </w:r>
      <w:r>
        <w:rPr>
          <w:rStyle w:val="18"/>
          <w:rFonts w:hint="eastAsia" w:ascii="宋体" w:hAnsi="宋体"/>
          <w:b/>
          <w:sz w:val="28"/>
          <w:szCs w:val="28"/>
        </w:rPr>
        <w:t>投资估算与资金筹措</w:t>
      </w:r>
      <w:r>
        <w:tab/>
      </w:r>
      <w:r>
        <w:fldChar w:fldCharType="begin"/>
      </w:r>
      <w:r>
        <w:instrText xml:space="preserve"> PAGEREF _Toc515980435 \h </w:instrText>
      </w:r>
      <w:r>
        <w:fldChar w:fldCharType="separate"/>
      </w:r>
      <w:r>
        <w:t>86</w:t>
      </w:r>
      <w:r>
        <w:fldChar w:fldCharType="end"/>
      </w:r>
      <w:r>
        <w:fldChar w:fldCharType="end"/>
      </w:r>
    </w:p>
    <w:p>
      <w:pPr>
        <w:pStyle w:val="14"/>
        <w:tabs>
          <w:tab w:val="right" w:leader="dot" w:pos="9018"/>
        </w:tabs>
        <w:rPr>
          <w:kern w:val="2"/>
          <w:sz w:val="21"/>
        </w:rPr>
      </w:pPr>
      <w:r>
        <w:fldChar w:fldCharType="begin"/>
      </w:r>
      <w:r>
        <w:instrText xml:space="preserve"> HYPERLINK \l "_Toc515980436" </w:instrText>
      </w:r>
      <w:r>
        <w:fldChar w:fldCharType="separate"/>
      </w:r>
      <w:r>
        <w:rPr>
          <w:rStyle w:val="18"/>
        </w:rPr>
        <w:t xml:space="preserve">15.1  </w:t>
      </w:r>
      <w:r>
        <w:rPr>
          <w:rStyle w:val="18"/>
          <w:rFonts w:hint="eastAsia"/>
        </w:rPr>
        <w:t>投资估算范围</w:t>
      </w:r>
      <w:r>
        <w:tab/>
      </w:r>
      <w:r>
        <w:fldChar w:fldCharType="begin"/>
      </w:r>
      <w:r>
        <w:instrText xml:space="preserve"> PAGEREF _Toc515980436 \h </w:instrText>
      </w:r>
      <w:r>
        <w:fldChar w:fldCharType="separate"/>
      </w:r>
      <w:r>
        <w:t>86</w:t>
      </w:r>
      <w:r>
        <w:fldChar w:fldCharType="end"/>
      </w:r>
      <w:r>
        <w:fldChar w:fldCharType="end"/>
      </w:r>
    </w:p>
    <w:p>
      <w:pPr>
        <w:pStyle w:val="14"/>
        <w:tabs>
          <w:tab w:val="right" w:leader="dot" w:pos="9018"/>
        </w:tabs>
        <w:rPr>
          <w:kern w:val="2"/>
          <w:sz w:val="21"/>
        </w:rPr>
      </w:pPr>
      <w:r>
        <w:fldChar w:fldCharType="begin"/>
      </w:r>
      <w:r>
        <w:instrText xml:space="preserve"> HYPERLINK \l "_Toc515980437" </w:instrText>
      </w:r>
      <w:r>
        <w:fldChar w:fldCharType="separate"/>
      </w:r>
      <w:r>
        <w:rPr>
          <w:rStyle w:val="18"/>
        </w:rPr>
        <w:t xml:space="preserve">15.2  </w:t>
      </w:r>
      <w:r>
        <w:rPr>
          <w:rStyle w:val="18"/>
          <w:rFonts w:hint="eastAsia"/>
        </w:rPr>
        <w:t>编制依据</w:t>
      </w:r>
      <w:r>
        <w:tab/>
      </w:r>
      <w:r>
        <w:fldChar w:fldCharType="begin"/>
      </w:r>
      <w:r>
        <w:instrText xml:space="preserve"> PAGEREF _Toc515980437 \h </w:instrText>
      </w:r>
      <w:r>
        <w:fldChar w:fldCharType="separate"/>
      </w:r>
      <w:r>
        <w:t>86</w:t>
      </w:r>
      <w:r>
        <w:fldChar w:fldCharType="end"/>
      </w:r>
      <w:r>
        <w:fldChar w:fldCharType="end"/>
      </w:r>
    </w:p>
    <w:p>
      <w:pPr>
        <w:pStyle w:val="14"/>
        <w:tabs>
          <w:tab w:val="right" w:leader="dot" w:pos="9018"/>
        </w:tabs>
        <w:rPr>
          <w:kern w:val="2"/>
          <w:sz w:val="21"/>
        </w:rPr>
      </w:pPr>
      <w:r>
        <w:fldChar w:fldCharType="begin"/>
      </w:r>
      <w:r>
        <w:instrText xml:space="preserve"> HYPERLINK \l "_Toc515980438" </w:instrText>
      </w:r>
      <w:r>
        <w:fldChar w:fldCharType="separate"/>
      </w:r>
      <w:r>
        <w:rPr>
          <w:rStyle w:val="18"/>
        </w:rPr>
        <w:t xml:space="preserve">15.3  </w:t>
      </w:r>
      <w:r>
        <w:rPr>
          <w:rStyle w:val="18"/>
          <w:rFonts w:hint="eastAsia"/>
        </w:rPr>
        <w:t>投资估算编制说明</w:t>
      </w:r>
      <w:r>
        <w:tab/>
      </w:r>
      <w:r>
        <w:fldChar w:fldCharType="begin"/>
      </w:r>
      <w:r>
        <w:instrText xml:space="preserve"> PAGEREF _Toc515980438 \h </w:instrText>
      </w:r>
      <w:r>
        <w:fldChar w:fldCharType="separate"/>
      </w:r>
      <w:r>
        <w:t>86</w:t>
      </w:r>
      <w:r>
        <w:fldChar w:fldCharType="end"/>
      </w:r>
      <w:r>
        <w:fldChar w:fldCharType="end"/>
      </w:r>
    </w:p>
    <w:p>
      <w:pPr>
        <w:pStyle w:val="14"/>
        <w:tabs>
          <w:tab w:val="right" w:leader="dot" w:pos="9018"/>
        </w:tabs>
        <w:rPr>
          <w:kern w:val="2"/>
          <w:sz w:val="21"/>
        </w:rPr>
      </w:pPr>
      <w:r>
        <w:fldChar w:fldCharType="begin"/>
      </w:r>
      <w:r>
        <w:instrText xml:space="preserve"> HYPERLINK \l "_Toc515980439" </w:instrText>
      </w:r>
      <w:r>
        <w:fldChar w:fldCharType="separate"/>
      </w:r>
      <w:r>
        <w:rPr>
          <w:rStyle w:val="18"/>
        </w:rPr>
        <w:t xml:space="preserve">15.4  </w:t>
      </w:r>
      <w:r>
        <w:rPr>
          <w:rStyle w:val="18"/>
          <w:rFonts w:hint="eastAsia"/>
        </w:rPr>
        <w:t>采用的定额及费率指标</w:t>
      </w:r>
      <w:r>
        <w:tab/>
      </w:r>
      <w:r>
        <w:fldChar w:fldCharType="begin"/>
      </w:r>
      <w:r>
        <w:instrText xml:space="preserve"> PAGEREF _Toc515980439 \h </w:instrText>
      </w:r>
      <w:r>
        <w:fldChar w:fldCharType="separate"/>
      </w:r>
      <w:r>
        <w:t>87</w:t>
      </w:r>
      <w:r>
        <w:fldChar w:fldCharType="end"/>
      </w:r>
      <w:r>
        <w:fldChar w:fldCharType="end"/>
      </w:r>
    </w:p>
    <w:p>
      <w:pPr>
        <w:pStyle w:val="14"/>
        <w:tabs>
          <w:tab w:val="right" w:leader="dot" w:pos="9018"/>
        </w:tabs>
        <w:rPr>
          <w:kern w:val="2"/>
          <w:sz w:val="21"/>
        </w:rPr>
      </w:pPr>
      <w:r>
        <w:fldChar w:fldCharType="begin"/>
      </w:r>
      <w:r>
        <w:instrText xml:space="preserve"> HYPERLINK \l "_Toc515980440" </w:instrText>
      </w:r>
      <w:r>
        <w:fldChar w:fldCharType="separate"/>
      </w:r>
      <w:r>
        <w:rPr>
          <w:rStyle w:val="18"/>
        </w:rPr>
        <w:t xml:space="preserve">15.5  </w:t>
      </w:r>
      <w:r>
        <w:rPr>
          <w:rStyle w:val="18"/>
          <w:rFonts w:hint="eastAsia"/>
        </w:rPr>
        <w:t>投资估算结果</w:t>
      </w:r>
      <w:r>
        <w:tab/>
      </w:r>
      <w:r>
        <w:fldChar w:fldCharType="begin"/>
      </w:r>
      <w:r>
        <w:instrText xml:space="preserve"> PAGEREF _Toc515980440 \h </w:instrText>
      </w:r>
      <w:r>
        <w:fldChar w:fldCharType="separate"/>
      </w:r>
      <w:r>
        <w:t>89</w:t>
      </w:r>
      <w:r>
        <w:fldChar w:fldCharType="end"/>
      </w:r>
      <w:r>
        <w:fldChar w:fldCharType="end"/>
      </w:r>
    </w:p>
    <w:p>
      <w:pPr>
        <w:pStyle w:val="14"/>
        <w:tabs>
          <w:tab w:val="right" w:leader="dot" w:pos="9018"/>
        </w:tabs>
        <w:rPr>
          <w:kern w:val="2"/>
          <w:sz w:val="21"/>
        </w:rPr>
      </w:pPr>
      <w:r>
        <w:fldChar w:fldCharType="begin"/>
      </w:r>
      <w:r>
        <w:instrText xml:space="preserve"> HYPERLINK \l "_Toc515980441" </w:instrText>
      </w:r>
      <w:r>
        <w:fldChar w:fldCharType="separate"/>
      </w:r>
      <w:r>
        <w:rPr>
          <w:rStyle w:val="18"/>
        </w:rPr>
        <w:t xml:space="preserve">15.6  </w:t>
      </w:r>
      <w:r>
        <w:rPr>
          <w:rStyle w:val="18"/>
          <w:rFonts w:hint="eastAsia"/>
        </w:rPr>
        <w:t>资金筹措</w:t>
      </w:r>
      <w:r>
        <w:tab/>
      </w:r>
      <w:r>
        <w:fldChar w:fldCharType="begin"/>
      </w:r>
      <w:r>
        <w:instrText xml:space="preserve"> PAGEREF _Toc515980441 \h </w:instrText>
      </w:r>
      <w:r>
        <w:fldChar w:fldCharType="separate"/>
      </w:r>
      <w:r>
        <w:t>89</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"_Toc515980442" </w:instrText>
      </w:r>
      <w:r>
        <w:fldChar w:fldCharType="separate"/>
      </w:r>
      <w:r>
        <w:rPr>
          <w:rStyle w:val="18"/>
          <w:rFonts w:hint="eastAsia" w:ascii="宋体" w:hAnsi="宋体"/>
          <w:b/>
          <w:sz w:val="28"/>
          <w:szCs w:val="28"/>
        </w:rPr>
        <w:t>第十六章</w:t>
      </w:r>
      <w:r>
        <w:rPr>
          <w:rStyle w:val="18"/>
          <w:rFonts w:ascii="宋体" w:hAnsi="宋体"/>
          <w:b/>
          <w:sz w:val="28"/>
          <w:szCs w:val="28"/>
        </w:rPr>
        <w:t xml:space="preserve"> </w:t>
      </w:r>
      <w:r>
        <w:rPr>
          <w:rStyle w:val="18"/>
          <w:rFonts w:hint="eastAsia" w:ascii="宋体" w:hAnsi="宋体"/>
          <w:b/>
          <w:sz w:val="28"/>
          <w:szCs w:val="28"/>
        </w:rPr>
        <w:t>社会评价</w:t>
      </w:r>
      <w:r>
        <w:tab/>
      </w:r>
      <w:r>
        <w:fldChar w:fldCharType="begin"/>
      </w:r>
      <w:r>
        <w:instrText xml:space="preserve"> PAGEREF _Toc515980442 \h </w:instrText>
      </w:r>
      <w:r>
        <w:fldChar w:fldCharType="separate"/>
      </w:r>
      <w:r>
        <w:t>90</w:t>
      </w:r>
      <w:r>
        <w:fldChar w:fldCharType="end"/>
      </w:r>
      <w:r>
        <w:fldChar w:fldCharType="end"/>
      </w:r>
    </w:p>
    <w:p>
      <w:pPr>
        <w:pStyle w:val="14"/>
        <w:tabs>
          <w:tab w:val="right" w:leader="dot" w:pos="9018"/>
        </w:tabs>
        <w:rPr>
          <w:kern w:val="2"/>
          <w:sz w:val="21"/>
        </w:rPr>
      </w:pPr>
      <w:r>
        <w:fldChar w:fldCharType="begin"/>
      </w:r>
      <w:r>
        <w:instrText xml:space="preserve"> HYPERLINK \l "_Toc515980443" </w:instrText>
      </w:r>
      <w:r>
        <w:fldChar w:fldCharType="separate"/>
      </w:r>
      <w:r>
        <w:rPr>
          <w:rStyle w:val="18"/>
        </w:rPr>
        <w:t xml:space="preserve">16.1  </w:t>
      </w:r>
      <w:r>
        <w:rPr>
          <w:rStyle w:val="18"/>
          <w:rFonts w:hint="eastAsia"/>
        </w:rPr>
        <w:t>项目对社会的影响分析</w:t>
      </w:r>
      <w:r>
        <w:tab/>
      </w:r>
      <w:r>
        <w:fldChar w:fldCharType="begin"/>
      </w:r>
      <w:r>
        <w:instrText xml:space="preserve"> PAGEREF _Toc515980443 \h </w:instrText>
      </w:r>
      <w:r>
        <w:fldChar w:fldCharType="separate"/>
      </w:r>
      <w:r>
        <w:t>90</w:t>
      </w:r>
      <w:r>
        <w:fldChar w:fldCharType="end"/>
      </w:r>
      <w:r>
        <w:fldChar w:fldCharType="end"/>
      </w:r>
    </w:p>
    <w:p>
      <w:pPr>
        <w:pStyle w:val="14"/>
        <w:tabs>
          <w:tab w:val="right" w:leader="dot" w:pos="9018"/>
        </w:tabs>
        <w:rPr>
          <w:kern w:val="2"/>
          <w:sz w:val="21"/>
        </w:rPr>
      </w:pPr>
      <w:r>
        <w:fldChar w:fldCharType="begin"/>
      </w:r>
      <w:r>
        <w:instrText xml:space="preserve"> HYPERLINK \l "_Toc515980444" </w:instrText>
      </w:r>
      <w:r>
        <w:fldChar w:fldCharType="separate"/>
      </w:r>
      <w:r>
        <w:rPr>
          <w:rStyle w:val="18"/>
        </w:rPr>
        <w:t xml:space="preserve">16.2  </w:t>
      </w:r>
      <w:r>
        <w:rPr>
          <w:rStyle w:val="18"/>
          <w:rFonts w:hint="eastAsia"/>
        </w:rPr>
        <w:t>项目所在地的互适性分析</w:t>
      </w:r>
      <w:r>
        <w:tab/>
      </w:r>
      <w:r>
        <w:fldChar w:fldCharType="begin"/>
      </w:r>
      <w:r>
        <w:instrText xml:space="preserve"> PAGEREF _Toc515980444 \h </w:instrText>
      </w:r>
      <w:r>
        <w:fldChar w:fldCharType="separate"/>
      </w:r>
      <w:r>
        <w:t>90</w:t>
      </w:r>
      <w:r>
        <w:fldChar w:fldCharType="end"/>
      </w:r>
      <w:r>
        <w:fldChar w:fldCharType="end"/>
      </w:r>
    </w:p>
    <w:p>
      <w:pPr>
        <w:pStyle w:val="14"/>
        <w:tabs>
          <w:tab w:val="right" w:leader="dot" w:pos="9018"/>
        </w:tabs>
        <w:rPr>
          <w:kern w:val="2"/>
          <w:sz w:val="21"/>
        </w:rPr>
      </w:pPr>
      <w:r>
        <w:fldChar w:fldCharType="begin"/>
      </w:r>
      <w:r>
        <w:instrText xml:space="preserve"> HYPERLINK \l "_Toc515980445" </w:instrText>
      </w:r>
      <w:r>
        <w:fldChar w:fldCharType="separate"/>
      </w:r>
      <w:r>
        <w:rPr>
          <w:rStyle w:val="18"/>
        </w:rPr>
        <w:t xml:space="preserve">16.3  </w:t>
      </w:r>
      <w:r>
        <w:rPr>
          <w:rStyle w:val="18"/>
          <w:rFonts w:hint="eastAsia"/>
        </w:rPr>
        <w:t>社会评价结论</w:t>
      </w:r>
      <w:r>
        <w:tab/>
      </w:r>
      <w:r>
        <w:fldChar w:fldCharType="begin"/>
      </w:r>
      <w:r>
        <w:instrText xml:space="preserve"> PAGEREF _Toc515980445 \h </w:instrText>
      </w:r>
      <w:r>
        <w:fldChar w:fldCharType="separate"/>
      </w:r>
      <w:r>
        <w:t>91</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"_Toc515980446" </w:instrText>
      </w:r>
      <w:r>
        <w:fldChar w:fldCharType="separate"/>
      </w:r>
      <w:r>
        <w:rPr>
          <w:rStyle w:val="18"/>
          <w:rFonts w:hint="eastAsia" w:ascii="宋体" w:hAnsi="宋体"/>
          <w:b/>
          <w:sz w:val="28"/>
          <w:szCs w:val="28"/>
        </w:rPr>
        <w:t>第十七章</w:t>
      </w:r>
      <w:r>
        <w:rPr>
          <w:rStyle w:val="18"/>
          <w:rFonts w:ascii="宋体" w:hAnsi="宋体"/>
          <w:b/>
          <w:sz w:val="28"/>
          <w:szCs w:val="28"/>
        </w:rPr>
        <w:t xml:space="preserve"> </w:t>
      </w:r>
      <w:r>
        <w:rPr>
          <w:rStyle w:val="18"/>
          <w:rFonts w:hint="eastAsia" w:ascii="宋体" w:hAnsi="宋体"/>
          <w:b/>
          <w:sz w:val="28"/>
          <w:szCs w:val="28"/>
        </w:rPr>
        <w:t>风险分析</w:t>
      </w:r>
      <w:r>
        <w:tab/>
      </w:r>
      <w:r>
        <w:fldChar w:fldCharType="begin"/>
      </w:r>
      <w:r>
        <w:instrText xml:space="preserve"> PAGEREF _Toc515980446 \h </w:instrText>
      </w:r>
      <w:r>
        <w:fldChar w:fldCharType="separate"/>
      </w:r>
      <w:r>
        <w:t>91</w:t>
      </w:r>
      <w:r>
        <w:fldChar w:fldCharType="end"/>
      </w:r>
      <w:r>
        <w:fldChar w:fldCharType="end"/>
      </w:r>
    </w:p>
    <w:p>
      <w:pPr>
        <w:pStyle w:val="14"/>
        <w:tabs>
          <w:tab w:val="right" w:leader="dot" w:pos="9018"/>
        </w:tabs>
        <w:rPr>
          <w:kern w:val="2"/>
          <w:sz w:val="21"/>
        </w:rPr>
      </w:pPr>
      <w:r>
        <w:fldChar w:fldCharType="begin"/>
      </w:r>
      <w:r>
        <w:instrText xml:space="preserve"> HYPERLINK \l "_Toc515980447" </w:instrText>
      </w:r>
      <w:r>
        <w:fldChar w:fldCharType="separate"/>
      </w:r>
      <w:r>
        <w:rPr>
          <w:rStyle w:val="18"/>
        </w:rPr>
        <w:t xml:space="preserve">17.1  </w:t>
      </w:r>
      <w:r>
        <w:rPr>
          <w:rStyle w:val="18"/>
          <w:rFonts w:hint="eastAsia"/>
        </w:rPr>
        <w:t>项目主要风险因素</w:t>
      </w:r>
      <w:r>
        <w:tab/>
      </w:r>
      <w:r>
        <w:fldChar w:fldCharType="begin"/>
      </w:r>
      <w:r>
        <w:instrText xml:space="preserve"> PAGEREF _Toc515980447 \h </w:instrText>
      </w:r>
      <w:r>
        <w:fldChar w:fldCharType="separate"/>
      </w:r>
      <w:r>
        <w:t>91</w:t>
      </w:r>
      <w:r>
        <w:fldChar w:fldCharType="end"/>
      </w:r>
      <w:r>
        <w:fldChar w:fldCharType="end"/>
      </w:r>
    </w:p>
    <w:p>
      <w:pPr>
        <w:pStyle w:val="14"/>
        <w:tabs>
          <w:tab w:val="right" w:leader="dot" w:pos="9018"/>
        </w:tabs>
        <w:rPr>
          <w:kern w:val="2"/>
          <w:sz w:val="21"/>
        </w:rPr>
      </w:pPr>
      <w:r>
        <w:fldChar w:fldCharType="begin"/>
      </w:r>
      <w:r>
        <w:instrText xml:space="preserve"> HYPERLINK \l "_Toc515980448" </w:instrText>
      </w:r>
      <w:r>
        <w:fldChar w:fldCharType="separate"/>
      </w:r>
      <w:r>
        <w:rPr>
          <w:rStyle w:val="18"/>
        </w:rPr>
        <w:t xml:space="preserve">17.2  </w:t>
      </w:r>
      <w:r>
        <w:rPr>
          <w:rStyle w:val="18"/>
          <w:rFonts w:hint="eastAsia"/>
        </w:rPr>
        <w:t>风险程度分析</w:t>
      </w:r>
      <w:r>
        <w:tab/>
      </w:r>
      <w:r>
        <w:fldChar w:fldCharType="begin"/>
      </w:r>
      <w:r>
        <w:instrText xml:space="preserve"> PAGEREF _Toc515980448 \h </w:instrText>
      </w:r>
      <w:r>
        <w:fldChar w:fldCharType="separate"/>
      </w:r>
      <w:r>
        <w:t>93</w:t>
      </w:r>
      <w:r>
        <w:fldChar w:fldCharType="end"/>
      </w:r>
      <w:r>
        <w:fldChar w:fldCharType="end"/>
      </w:r>
    </w:p>
    <w:p>
      <w:pPr>
        <w:pStyle w:val="14"/>
        <w:tabs>
          <w:tab w:val="right" w:leader="dot" w:pos="9018"/>
        </w:tabs>
        <w:rPr>
          <w:kern w:val="2"/>
          <w:sz w:val="21"/>
        </w:rPr>
      </w:pPr>
      <w:r>
        <w:fldChar w:fldCharType="begin"/>
      </w:r>
      <w:r>
        <w:instrText xml:space="preserve"> HYPERLINK \l "_Toc515980449" </w:instrText>
      </w:r>
      <w:r>
        <w:fldChar w:fldCharType="separate"/>
      </w:r>
      <w:r>
        <w:rPr>
          <w:rStyle w:val="18"/>
        </w:rPr>
        <w:t xml:space="preserve">17.3  </w:t>
      </w:r>
      <w:r>
        <w:rPr>
          <w:rStyle w:val="18"/>
          <w:rFonts w:hint="eastAsia"/>
        </w:rPr>
        <w:t>风险防范措施</w:t>
      </w:r>
      <w:r>
        <w:tab/>
      </w:r>
      <w:r>
        <w:fldChar w:fldCharType="begin"/>
      </w:r>
      <w:r>
        <w:instrText xml:space="preserve"> PAGEREF _Toc515980449 \h </w:instrText>
      </w:r>
      <w:r>
        <w:fldChar w:fldCharType="separate"/>
      </w:r>
      <w:r>
        <w:t>94</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"_Toc515980450" </w:instrText>
      </w:r>
      <w:r>
        <w:fldChar w:fldCharType="separate"/>
      </w:r>
      <w:r>
        <w:rPr>
          <w:rStyle w:val="18"/>
          <w:rFonts w:hint="eastAsia" w:ascii="宋体" w:hAnsi="宋体"/>
          <w:b/>
          <w:sz w:val="28"/>
          <w:szCs w:val="28"/>
        </w:rPr>
        <w:t>第十八章</w:t>
      </w:r>
      <w:r>
        <w:rPr>
          <w:rStyle w:val="18"/>
          <w:rFonts w:ascii="宋体" w:hAnsi="宋体"/>
          <w:b/>
          <w:sz w:val="28"/>
          <w:szCs w:val="28"/>
        </w:rPr>
        <w:t xml:space="preserve">  </w:t>
      </w:r>
      <w:r>
        <w:rPr>
          <w:rStyle w:val="18"/>
          <w:rFonts w:hint="eastAsia" w:ascii="宋体" w:hAnsi="宋体"/>
          <w:b/>
          <w:sz w:val="28"/>
          <w:szCs w:val="28"/>
        </w:rPr>
        <w:t>结论与建议</w:t>
      </w:r>
      <w:r>
        <w:tab/>
      </w:r>
      <w:r>
        <w:fldChar w:fldCharType="begin"/>
      </w:r>
      <w:r>
        <w:instrText xml:space="preserve"> PAGEREF _Toc515980450 \h </w:instrText>
      </w:r>
      <w:r>
        <w:fldChar w:fldCharType="separate"/>
      </w:r>
      <w:r>
        <w:t>95</w:t>
      </w:r>
      <w:r>
        <w:fldChar w:fldCharType="end"/>
      </w:r>
      <w:r>
        <w:fldChar w:fldCharType="end"/>
      </w:r>
    </w:p>
    <w:p>
      <w:pPr>
        <w:pStyle w:val="14"/>
        <w:tabs>
          <w:tab w:val="right" w:leader="dot" w:pos="9018"/>
        </w:tabs>
        <w:rPr>
          <w:kern w:val="2"/>
          <w:sz w:val="21"/>
        </w:rPr>
      </w:pPr>
      <w:r>
        <w:fldChar w:fldCharType="begin"/>
      </w:r>
      <w:r>
        <w:instrText xml:space="preserve"> HYPERLINK \l "_Toc515980451" </w:instrText>
      </w:r>
      <w:r>
        <w:fldChar w:fldCharType="separate"/>
      </w:r>
      <w:r>
        <w:rPr>
          <w:rStyle w:val="18"/>
        </w:rPr>
        <w:t xml:space="preserve">18.1 </w:t>
      </w:r>
      <w:r>
        <w:rPr>
          <w:rStyle w:val="18"/>
          <w:rFonts w:hint="eastAsia"/>
        </w:rPr>
        <w:t>结论</w:t>
      </w:r>
      <w:r>
        <w:tab/>
      </w:r>
      <w:r>
        <w:fldChar w:fldCharType="begin"/>
      </w:r>
      <w:r>
        <w:instrText xml:space="preserve"> PAGEREF _Toc515980451 \h </w:instrText>
      </w:r>
      <w:r>
        <w:fldChar w:fldCharType="separate"/>
      </w:r>
      <w:r>
        <w:t>96</w:t>
      </w:r>
      <w:r>
        <w:fldChar w:fldCharType="end"/>
      </w:r>
      <w:r>
        <w:fldChar w:fldCharType="end"/>
      </w:r>
    </w:p>
    <w:p>
      <w:pPr>
        <w:pStyle w:val="14"/>
        <w:tabs>
          <w:tab w:val="right" w:leader="dot" w:pos="9018"/>
        </w:tabs>
        <w:rPr>
          <w:kern w:val="2"/>
          <w:sz w:val="21"/>
        </w:rPr>
      </w:pPr>
      <w:r>
        <w:fldChar w:fldCharType="begin"/>
      </w:r>
      <w:r>
        <w:instrText xml:space="preserve"> HYPERLINK \l "_Toc515980452" </w:instrText>
      </w:r>
      <w:r>
        <w:fldChar w:fldCharType="separate"/>
      </w:r>
      <w:r>
        <w:rPr>
          <w:rStyle w:val="18"/>
        </w:rPr>
        <w:t xml:space="preserve">18.2 </w:t>
      </w:r>
      <w:r>
        <w:rPr>
          <w:rStyle w:val="18"/>
          <w:rFonts w:hint="eastAsia"/>
        </w:rPr>
        <w:t>建议</w:t>
      </w:r>
      <w:r>
        <w:tab/>
      </w:r>
      <w:r>
        <w:fldChar w:fldCharType="begin"/>
      </w:r>
      <w:r>
        <w:instrText xml:space="preserve"> PAGEREF _Toc515980452 \h </w:instrText>
      </w:r>
      <w:r>
        <w:fldChar w:fldCharType="separate"/>
      </w:r>
      <w:r>
        <w:t>97</w:t>
      </w:r>
      <w:r>
        <w:fldChar w:fldCharType="end"/>
      </w:r>
      <w:r>
        <w:fldChar w:fldCharType="end"/>
      </w:r>
    </w:p>
    <w:p>
      <w:pPr>
        <w:pStyle w:val="13"/>
        <w:tabs>
          <w:tab w:val="right" w:leader="dot" w:pos="9018"/>
        </w:tabs>
        <w:rPr>
          <w:rFonts w:asciiTheme="minorHAnsi" w:hAnsiTheme="minorHAnsi" w:eastAsiaTheme="minorEastAsia" w:cstheme="minorBidi"/>
          <w:szCs w:val="22"/>
        </w:rPr>
      </w:pPr>
      <w:r>
        <w:fldChar w:fldCharType="begin"/>
      </w:r>
      <w:r>
        <w:instrText xml:space="preserve"> HYPERLINK \l "_Toc515980453" </w:instrText>
      </w:r>
      <w:r>
        <w:fldChar w:fldCharType="separate"/>
      </w:r>
      <w:r>
        <w:rPr>
          <w:rStyle w:val="18"/>
          <w:rFonts w:hint="eastAsia" w:ascii="宋体" w:hAnsi="宋体"/>
          <w:b/>
          <w:sz w:val="28"/>
          <w:szCs w:val="28"/>
        </w:rPr>
        <w:t>第十九章</w:t>
      </w:r>
      <w:r>
        <w:rPr>
          <w:rStyle w:val="18"/>
          <w:rFonts w:ascii="宋体" w:hAnsi="宋体"/>
          <w:b/>
          <w:sz w:val="28"/>
          <w:szCs w:val="28"/>
        </w:rPr>
        <w:t xml:space="preserve">  </w:t>
      </w:r>
      <w:r>
        <w:rPr>
          <w:rStyle w:val="18"/>
          <w:rFonts w:hint="eastAsia" w:ascii="宋体" w:hAnsi="宋体"/>
          <w:b/>
          <w:sz w:val="28"/>
          <w:szCs w:val="28"/>
        </w:rPr>
        <w:t>附件</w:t>
      </w:r>
      <w:r>
        <w:tab/>
      </w:r>
      <w:r>
        <w:fldChar w:fldCharType="begin"/>
      </w:r>
      <w:r>
        <w:instrText xml:space="preserve"> PAGEREF _Toc515980453 \h </w:instrText>
      </w:r>
      <w:r>
        <w:fldChar w:fldCharType="separate"/>
      </w:r>
      <w:r>
        <w:t>97</w:t>
      </w:r>
      <w:r>
        <w:fldChar w:fldCharType="end"/>
      </w:r>
      <w:r>
        <w:fldChar w:fldCharType="end"/>
      </w:r>
    </w:p>
    <w:p>
      <w:pPr>
        <w:adjustRightInd w:val="0"/>
        <w:snapToGrid w:val="0"/>
        <w:spacing w:line="360" w:lineRule="auto"/>
        <w:jc w:val="center"/>
        <w:rPr>
          <w:rFonts w:ascii="宋体" w:hAnsi="宋体"/>
          <w:b/>
          <w:sz w:val="40"/>
          <w:szCs w:val="44"/>
        </w:rPr>
      </w:pPr>
      <w:r>
        <w:rPr>
          <w:rFonts w:ascii="宋体" w:hAnsi="宋体"/>
          <w:b/>
          <w:sz w:val="40"/>
          <w:szCs w:val="44"/>
        </w:rPr>
        <w:fldChar w:fldCharType="end"/>
      </w:r>
    </w:p>
    <w:p>
      <w:pPr>
        <w:adjustRightInd w:val="0"/>
        <w:snapToGrid w:val="0"/>
        <w:spacing w:line="360" w:lineRule="auto"/>
        <w:jc w:val="center"/>
        <w:rPr>
          <w:rFonts w:ascii="宋体" w:hAnsi="宋体"/>
          <w:b/>
          <w:sz w:val="40"/>
          <w:szCs w:val="44"/>
        </w:rPr>
      </w:pPr>
      <w:r>
        <w:rPr>
          <w:rFonts w:hint="eastAsia" w:ascii="宋体" w:hAnsi="宋体"/>
          <w:b/>
          <w:sz w:val="40"/>
          <w:szCs w:val="44"/>
        </w:rPr>
        <w:t>珠海汇华实验学校新建工程可行性研究报告</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0" w:name="_Toc498870080"/>
      <w:bookmarkStart w:id="1" w:name="_Toc509584565"/>
      <w:bookmarkStart w:id="2" w:name="_Toc509586041"/>
      <w:bookmarkStart w:id="3" w:name="_Toc515980375"/>
      <w:r>
        <w:rPr>
          <w:rFonts w:hint="eastAsia" w:ascii="宋体" w:hAnsi="宋体"/>
          <w:bCs w:val="0"/>
          <w:kern w:val="2"/>
          <w:sz w:val="36"/>
        </w:rPr>
        <w:t xml:space="preserve">第一章  概  </w:t>
      </w:r>
      <w:bookmarkEnd w:id="0"/>
      <w:r>
        <w:rPr>
          <w:rFonts w:hint="eastAsia" w:ascii="宋体" w:hAnsi="宋体"/>
          <w:bCs w:val="0"/>
          <w:kern w:val="2"/>
          <w:sz w:val="36"/>
        </w:rPr>
        <w:t>述</w:t>
      </w:r>
      <w:bookmarkEnd w:id="1"/>
      <w:bookmarkEnd w:id="2"/>
      <w:bookmarkEnd w:id="3"/>
    </w:p>
    <w:p>
      <w:pPr>
        <w:pStyle w:val="3"/>
      </w:pPr>
      <w:bookmarkStart w:id="4" w:name="_Toc509586042"/>
      <w:bookmarkStart w:id="5" w:name="_Toc515980376"/>
      <w:r>
        <w:rPr>
          <w:rFonts w:hint="eastAsia"/>
        </w:rPr>
        <w:t>1.1  项目名称及概况</w:t>
      </w:r>
      <w:bookmarkEnd w:id="4"/>
      <w:bookmarkEnd w:id="5"/>
    </w:p>
    <w:p>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一、项目名称：   </w:t>
      </w:r>
      <w:r>
        <w:rPr>
          <w:rFonts w:hint="eastAsia" w:asciiTheme="minorEastAsia" w:hAnsiTheme="minorEastAsia" w:eastAsiaTheme="minorEastAsia"/>
          <w:sz w:val="28"/>
          <w:szCs w:val="28"/>
        </w:rPr>
        <w:t>珠海汇华实验学校</w:t>
      </w:r>
    </w:p>
    <w:p>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rPr>
        <w:t xml:space="preserve">二、项目地址：   </w:t>
      </w:r>
      <w:r>
        <w:rPr>
          <w:rFonts w:hint="eastAsia" w:asciiTheme="minorEastAsia" w:hAnsiTheme="minorEastAsia" w:eastAsiaTheme="minorEastAsia"/>
          <w:sz w:val="28"/>
          <w:szCs w:val="28"/>
        </w:rPr>
        <w:t>珠海市平沙镇庆平路南侧</w:t>
      </w:r>
    </w:p>
    <w:p>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三、项目建设单位：</w:t>
      </w:r>
      <w:r>
        <w:rPr>
          <w:rFonts w:hint="eastAsia" w:asciiTheme="minorEastAsia" w:hAnsiTheme="minorEastAsia" w:eastAsiaTheme="minorEastAsia"/>
          <w:sz w:val="28"/>
          <w:szCs w:val="28"/>
        </w:rPr>
        <w:t>珠海汇华基础设施投资有限公司</w:t>
      </w:r>
    </w:p>
    <w:p>
      <w:pPr>
        <w:pStyle w:val="15"/>
        <w:spacing w:before="0" w:beforeAutospacing="0" w:after="0" w:afterAutospacing="0" w:line="520" w:lineRule="exact"/>
        <w:rPr>
          <w:rFonts w:cs="Times New Roman" w:asciiTheme="minorEastAsia" w:hAnsiTheme="minorEastAsia" w:eastAsiaTheme="minorEastAsia"/>
          <w:kern w:val="2"/>
        </w:rPr>
      </w:pPr>
      <w:bookmarkStart w:id="6" w:name="_Toc509586043"/>
      <w:r>
        <w:rPr>
          <w:rFonts w:hint="eastAsia" w:cs="Times New Roman" w:asciiTheme="minorEastAsia" w:hAnsiTheme="minorEastAsia" w:eastAsiaTheme="minorEastAsia"/>
          <w:kern w:val="2"/>
        </w:rPr>
        <w:t>珠海汇华基础设施投资有限公司是集基础设施投融资管理、项目投资与运营、城市资源开发与管理和公用事业服务等业务的多元化企业集团，现拥有11家全资子公司和3家控股参股企业，总资产86亿元，净资产78亿元。公司按照公用事业服务、城市运营、金融服务三大战略板块，形成总公司统领，板块公司、业务公司三级法人治理结构。</w:t>
      </w:r>
      <w:r>
        <w:rPr>
          <w:rFonts w:cs="Times New Roman" w:asciiTheme="minorEastAsia" w:hAnsiTheme="minorEastAsia" w:eastAsiaTheme="minorEastAsia"/>
          <w:kern w:val="2"/>
        </w:rPr>
        <w:t xml:space="preserve">  </w:t>
      </w:r>
    </w:p>
    <w:p>
      <w:pPr>
        <w:pStyle w:val="15"/>
        <w:spacing w:before="0" w:beforeAutospacing="0" w:after="0" w:afterAutospacing="0" w:line="520" w:lineRule="exact"/>
        <w:rPr>
          <w:rFonts w:cs="Times New Roman" w:asciiTheme="minorEastAsia" w:hAnsiTheme="minorEastAsia" w:eastAsiaTheme="minorEastAsia"/>
          <w:kern w:val="2"/>
        </w:rPr>
      </w:pPr>
      <w:r>
        <w:rPr>
          <w:rFonts w:cs="Times New Roman" w:asciiTheme="minorEastAsia" w:hAnsiTheme="minorEastAsia" w:eastAsiaTheme="minorEastAsia"/>
          <w:kern w:val="2"/>
        </w:rPr>
        <w:t xml:space="preserve">  </w:t>
      </w:r>
      <w:r>
        <w:rPr>
          <w:rFonts w:hint="eastAsia" w:cs="Times New Roman" w:asciiTheme="minorEastAsia" w:hAnsiTheme="minorEastAsia" w:eastAsiaTheme="minorEastAsia"/>
          <w:b/>
          <w:bCs/>
          <w:kern w:val="2"/>
        </w:rPr>
        <w:t>“公用事业”板块</w:t>
      </w:r>
      <w:r>
        <w:rPr>
          <w:rFonts w:hint="eastAsia" w:cs="Times New Roman" w:asciiTheme="minorEastAsia" w:hAnsiTheme="minorEastAsia" w:eastAsiaTheme="minorEastAsia"/>
          <w:kern w:val="2"/>
        </w:rPr>
        <w:t>，以珠海汇华城市资源开发有限公司为统领，下设汇华环境、信息科技、安管咨询、市政园林、汽车租赁、人力资源、物业管理等分业务公司。</w:t>
      </w:r>
    </w:p>
    <w:p>
      <w:pPr>
        <w:pStyle w:val="15"/>
        <w:spacing w:before="0" w:beforeAutospacing="0" w:after="0" w:afterAutospacing="0" w:line="520" w:lineRule="exact"/>
        <w:rPr>
          <w:rFonts w:cs="Times New Roman" w:asciiTheme="minorEastAsia" w:hAnsiTheme="minorEastAsia" w:eastAsiaTheme="minorEastAsia"/>
          <w:kern w:val="2"/>
        </w:rPr>
      </w:pPr>
      <w:r>
        <w:rPr>
          <w:rFonts w:cs="Times New Roman" w:asciiTheme="minorEastAsia" w:hAnsiTheme="minorEastAsia" w:eastAsiaTheme="minorEastAsia"/>
          <w:b/>
          <w:bCs/>
          <w:kern w:val="2"/>
        </w:rPr>
        <w:t xml:space="preserve">  </w:t>
      </w:r>
      <w:r>
        <w:rPr>
          <w:rFonts w:hint="eastAsia" w:cs="Times New Roman" w:asciiTheme="minorEastAsia" w:hAnsiTheme="minorEastAsia" w:eastAsiaTheme="minorEastAsia"/>
          <w:b/>
          <w:bCs/>
          <w:kern w:val="2"/>
        </w:rPr>
        <w:t>“城市运营”板块</w:t>
      </w:r>
      <w:r>
        <w:rPr>
          <w:rFonts w:hint="eastAsia" w:cs="Times New Roman" w:asciiTheme="minorEastAsia" w:hAnsiTheme="minorEastAsia" w:eastAsiaTheme="minorEastAsia"/>
          <w:kern w:val="2"/>
        </w:rPr>
        <w:t>，以珠海汇华基础设施投资有限公司为统领，下设管廊公司、新城CBD 、创新谷、国际海员大厦和公租房建设等项目公司。</w:t>
      </w:r>
    </w:p>
    <w:p>
      <w:pPr>
        <w:pStyle w:val="15"/>
        <w:spacing w:before="0" w:beforeAutospacing="0" w:after="0" w:afterAutospacing="0" w:line="520" w:lineRule="exact"/>
        <w:rPr>
          <w:rFonts w:cs="Times New Roman" w:asciiTheme="minorEastAsia" w:hAnsiTheme="minorEastAsia" w:eastAsiaTheme="minorEastAsia"/>
          <w:kern w:val="2"/>
        </w:rPr>
      </w:pPr>
      <w:r>
        <w:rPr>
          <w:rFonts w:hint="eastAsia" w:cs="Times New Roman" w:asciiTheme="minorEastAsia" w:hAnsiTheme="minorEastAsia" w:eastAsiaTheme="minorEastAsia"/>
          <w:b/>
          <w:bCs/>
          <w:kern w:val="2"/>
        </w:rPr>
        <w:t xml:space="preserve">  “金融投资”板块</w:t>
      </w:r>
      <w:r>
        <w:rPr>
          <w:rFonts w:hint="eastAsia" w:cs="Times New Roman" w:asciiTheme="minorEastAsia" w:hAnsiTheme="minorEastAsia" w:eastAsiaTheme="minorEastAsia"/>
          <w:kern w:val="2"/>
        </w:rPr>
        <w:t>，通过市场化方式招聘，由一批金融投资、财务分析、风险控制和法务等高素质人才组成专业团队，通过与金融机构和基金管理公司开展合作，创新金融服务方式，为企业提供政策咨询、融资、股改和做市等增值服务。公司自成立以来，不断谋求新的发展，承接了高栏港区多项基础建设及各类民生工程，港区市政园林绿化工程和环保工程，接管运营公共管廊等支柱产业。其中创新谷“高栏2025加速器”建设，平沙新城CBD建设、环境监测与污水固废处理等重大项目处在高速推进中，发展前景广阔。</w:t>
      </w:r>
    </w:p>
    <w:p>
      <w:pPr>
        <w:pStyle w:val="3"/>
      </w:pPr>
      <w:bookmarkStart w:id="7" w:name="_Toc515980377"/>
      <w:r>
        <w:rPr>
          <w:rFonts w:hint="eastAsia"/>
        </w:rPr>
        <w:t>1.2  项目背景</w:t>
      </w:r>
      <w:bookmarkEnd w:id="6"/>
      <w:bookmarkEnd w:id="7"/>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根据《高栏港经济区201</w:t>
      </w:r>
      <w:r>
        <w:rPr>
          <w:rFonts w:asciiTheme="minorEastAsia" w:hAnsiTheme="minorEastAsia" w:eastAsiaTheme="minorEastAsia"/>
          <w:sz w:val="24"/>
        </w:rPr>
        <w:t>8</w:t>
      </w:r>
      <w:r>
        <w:rPr>
          <w:rFonts w:hint="eastAsia" w:asciiTheme="minorEastAsia" w:hAnsiTheme="minorEastAsia" w:eastAsiaTheme="minorEastAsia"/>
          <w:sz w:val="24"/>
        </w:rPr>
        <w:t>年政府投资项目计划表》（储备项目），珠海汇华实验学校列入政府投资项目计划表中，按照广东省义务教育标准化学校标准建设，为九年一贯制学校，建设规模为36个班，每年级4个班，(其中小学部为24个班，初中部为12个班),每班按45人，</w:t>
      </w:r>
      <w:r>
        <w:rPr>
          <w:rFonts w:hint="eastAsia" w:asciiTheme="minorEastAsia" w:hAnsiTheme="minorEastAsia" w:eastAsiaTheme="minorEastAsia"/>
          <w:color w:val="auto"/>
          <w:sz w:val="24"/>
        </w:rPr>
        <w:t>学位1620个。</w:t>
      </w:r>
    </w:p>
    <w:p>
      <w:pPr>
        <w:pStyle w:val="3"/>
        <w:rPr>
          <w:color w:val="FF0000"/>
        </w:rPr>
      </w:pPr>
      <w:bookmarkStart w:id="8" w:name="_Toc515980378"/>
      <w:bookmarkStart w:id="9" w:name="_Toc509586044"/>
      <w:r>
        <w:rPr>
          <w:rFonts w:hint="eastAsia"/>
        </w:rPr>
        <w:t>1.3  报告编制依据</w:t>
      </w:r>
      <w:bookmarkEnd w:id="8"/>
      <w:bookmarkEnd w:id="9"/>
    </w:p>
    <w:p>
      <w:pPr>
        <w:spacing w:line="360" w:lineRule="auto"/>
        <w:ind w:firstLine="480" w:firstLineChars="200"/>
        <w:rPr>
          <w:rFonts w:ascii="宋体" w:hAnsi="宋体"/>
          <w:sz w:val="24"/>
        </w:rPr>
      </w:pPr>
      <w:r>
        <w:rPr>
          <w:rFonts w:hint="eastAsia" w:ascii="宋体" w:hAnsi="宋体"/>
          <w:sz w:val="24"/>
        </w:rPr>
        <w:t>1、《中华人民共和国义务教育法》(2015年修正)</w:t>
      </w:r>
    </w:p>
    <w:p>
      <w:pPr>
        <w:spacing w:line="360" w:lineRule="auto"/>
        <w:ind w:firstLine="480" w:firstLineChars="200"/>
        <w:rPr>
          <w:rFonts w:ascii="宋体" w:hAnsi="宋体"/>
          <w:sz w:val="24"/>
        </w:rPr>
      </w:pPr>
      <w:r>
        <w:rPr>
          <w:rFonts w:hint="eastAsia" w:ascii="宋体" w:hAnsi="宋体"/>
          <w:sz w:val="24"/>
        </w:rPr>
        <w:t>2、《珠海市中长期教育改革和发展规划纲要》（2010-2020年）</w:t>
      </w:r>
    </w:p>
    <w:p>
      <w:pPr>
        <w:spacing w:line="360" w:lineRule="auto"/>
        <w:ind w:firstLine="480" w:firstLineChars="200"/>
        <w:rPr>
          <w:rFonts w:ascii="宋体" w:hAnsi="宋体"/>
          <w:sz w:val="24"/>
        </w:rPr>
      </w:pPr>
      <w:r>
        <w:rPr>
          <w:rFonts w:hint="eastAsia" w:ascii="宋体" w:hAnsi="宋体"/>
          <w:sz w:val="24"/>
        </w:rPr>
        <w:t>3、珠海汇华实验学校用地红线图</w:t>
      </w:r>
    </w:p>
    <w:p>
      <w:pPr>
        <w:spacing w:line="360" w:lineRule="auto"/>
        <w:ind w:firstLine="480" w:firstLineChars="200"/>
        <w:rPr>
          <w:rFonts w:ascii="宋体" w:hAnsi="宋体"/>
          <w:sz w:val="24"/>
        </w:rPr>
      </w:pPr>
      <w:r>
        <w:rPr>
          <w:rFonts w:hint="eastAsia" w:ascii="宋体" w:hAnsi="宋体"/>
          <w:sz w:val="24"/>
        </w:rPr>
        <w:t>4、《广东省义务教育标准化学校标准》（2013年9月1日实施）</w:t>
      </w:r>
    </w:p>
    <w:p>
      <w:pPr>
        <w:spacing w:line="360" w:lineRule="auto"/>
        <w:ind w:firstLine="480" w:firstLineChars="200"/>
        <w:rPr>
          <w:rFonts w:ascii="宋体" w:hAnsi="宋体"/>
          <w:sz w:val="24"/>
        </w:rPr>
      </w:pPr>
      <w:r>
        <w:rPr>
          <w:rFonts w:hint="eastAsia" w:ascii="宋体" w:hAnsi="宋体"/>
          <w:sz w:val="24"/>
        </w:rPr>
        <w:t>5、《广东省小学教育装备标准（2014修订）》</w:t>
      </w:r>
    </w:p>
    <w:p>
      <w:pPr>
        <w:spacing w:line="360" w:lineRule="auto"/>
        <w:ind w:firstLine="480" w:firstLineChars="200"/>
        <w:rPr>
          <w:rFonts w:ascii="宋体" w:hAnsi="宋体"/>
          <w:sz w:val="24"/>
        </w:rPr>
      </w:pPr>
      <w:r>
        <w:rPr>
          <w:rFonts w:hint="eastAsia" w:ascii="宋体" w:hAnsi="宋体"/>
          <w:sz w:val="24"/>
        </w:rPr>
        <w:t>6、《普通中小学校建设标准（征求意见稿）》（教发司[2015]117号）</w:t>
      </w:r>
    </w:p>
    <w:p>
      <w:pPr>
        <w:spacing w:line="360" w:lineRule="auto"/>
        <w:ind w:firstLine="480" w:firstLineChars="200"/>
        <w:rPr>
          <w:rFonts w:ascii="宋体" w:hAnsi="宋体"/>
          <w:sz w:val="24"/>
        </w:rPr>
      </w:pPr>
      <w:r>
        <w:rPr>
          <w:rFonts w:hint="eastAsia" w:ascii="宋体" w:hAnsi="宋体"/>
          <w:sz w:val="24"/>
        </w:rPr>
        <w:t>7、《深圳市普通中小学校建设标准指引》（2016年4月）</w:t>
      </w:r>
    </w:p>
    <w:p>
      <w:pPr>
        <w:spacing w:line="360" w:lineRule="auto"/>
        <w:ind w:firstLine="480" w:firstLineChars="200"/>
        <w:rPr>
          <w:rFonts w:ascii="宋体" w:hAnsi="宋体"/>
          <w:sz w:val="24"/>
        </w:rPr>
      </w:pPr>
      <w:r>
        <w:rPr>
          <w:rFonts w:hint="eastAsia" w:ascii="宋体" w:hAnsi="宋体"/>
          <w:sz w:val="24"/>
        </w:rPr>
        <w:t>8、《中小学校设计规范》（GB50099—2011）</w:t>
      </w:r>
    </w:p>
    <w:p>
      <w:pPr>
        <w:spacing w:line="360" w:lineRule="auto"/>
        <w:ind w:firstLine="480" w:firstLineChars="200"/>
        <w:rPr>
          <w:rFonts w:ascii="宋体" w:hAnsi="宋体"/>
          <w:sz w:val="24"/>
        </w:rPr>
      </w:pPr>
      <w:r>
        <w:rPr>
          <w:rFonts w:hint="eastAsia" w:ascii="宋体" w:hAnsi="宋体"/>
          <w:sz w:val="24"/>
        </w:rPr>
        <w:t>9、《城市普通中小学校校舍建设标准》（2002）</w:t>
      </w:r>
    </w:p>
    <w:p>
      <w:pPr>
        <w:spacing w:line="360" w:lineRule="auto"/>
        <w:ind w:firstLine="480" w:firstLineChars="200"/>
        <w:rPr>
          <w:rFonts w:ascii="宋体" w:hAnsi="宋体"/>
          <w:sz w:val="24"/>
        </w:rPr>
      </w:pPr>
      <w:r>
        <w:rPr>
          <w:rFonts w:hint="eastAsia" w:ascii="宋体" w:hAnsi="宋体"/>
          <w:sz w:val="24"/>
        </w:rPr>
        <w:t>10、《建筑抗震设计规范》（</w:t>
      </w:r>
      <w:r>
        <w:rPr>
          <w:rFonts w:ascii="宋体" w:hAnsi="宋体"/>
          <w:sz w:val="24"/>
        </w:rPr>
        <w:t>GB50011-2010</w:t>
      </w:r>
      <w:r>
        <w:rPr>
          <w:rFonts w:hint="eastAsia" w:ascii="宋体" w:hAnsi="宋体"/>
          <w:sz w:val="24"/>
        </w:rPr>
        <w:t>）（2016版）</w:t>
      </w:r>
    </w:p>
    <w:p>
      <w:pPr>
        <w:spacing w:line="360" w:lineRule="auto"/>
        <w:ind w:firstLine="480" w:firstLineChars="200"/>
        <w:rPr>
          <w:rFonts w:ascii="宋体" w:hAnsi="宋体"/>
          <w:sz w:val="24"/>
        </w:rPr>
      </w:pPr>
      <w:r>
        <w:rPr>
          <w:rFonts w:hint="eastAsia" w:ascii="宋体" w:hAnsi="宋体"/>
          <w:sz w:val="24"/>
        </w:rPr>
        <w:t>11、《投资项目可行性研究指南》（中国电力出版社）</w:t>
      </w:r>
    </w:p>
    <w:p>
      <w:pPr>
        <w:spacing w:line="360" w:lineRule="auto"/>
        <w:ind w:firstLine="480" w:firstLineChars="200"/>
        <w:rPr>
          <w:rFonts w:ascii="宋体" w:hAnsi="宋体"/>
          <w:sz w:val="24"/>
        </w:rPr>
      </w:pPr>
      <w:r>
        <w:rPr>
          <w:rFonts w:hint="eastAsia" w:ascii="宋体" w:hAnsi="宋体"/>
          <w:sz w:val="24"/>
        </w:rPr>
        <w:t>12、《珠海市城市规划技术标准与准则》（2015）</w:t>
      </w:r>
    </w:p>
    <w:p>
      <w:pPr>
        <w:spacing w:line="360" w:lineRule="auto"/>
        <w:ind w:firstLine="480" w:firstLineChars="200"/>
        <w:rPr>
          <w:rFonts w:ascii="宋体" w:hAnsi="宋体"/>
          <w:sz w:val="24"/>
        </w:rPr>
      </w:pPr>
      <w:r>
        <w:rPr>
          <w:rFonts w:hint="eastAsia" w:ascii="宋体" w:hAnsi="宋体"/>
          <w:sz w:val="24"/>
        </w:rPr>
        <w:t>13、国家及珠海市有关城市规划与建设的规范条例</w:t>
      </w:r>
    </w:p>
    <w:p>
      <w:pPr>
        <w:spacing w:line="360" w:lineRule="auto"/>
        <w:ind w:firstLine="480" w:firstLineChars="200"/>
        <w:rPr>
          <w:rFonts w:ascii="宋体" w:hAnsi="宋体"/>
          <w:sz w:val="24"/>
        </w:rPr>
      </w:pPr>
      <w:r>
        <w:rPr>
          <w:rFonts w:hint="eastAsia" w:ascii="宋体" w:hAnsi="宋体"/>
          <w:sz w:val="24"/>
        </w:rPr>
        <w:t>14《关于同意筹建珠海汇华实验学校的批复》</w:t>
      </w:r>
    </w:p>
    <w:p>
      <w:pPr>
        <w:pStyle w:val="3"/>
      </w:pPr>
      <w:bookmarkStart w:id="10" w:name="_Toc515980379"/>
      <w:bookmarkStart w:id="11" w:name="_Toc509586045"/>
      <w:r>
        <w:rPr>
          <w:rFonts w:hint="eastAsia"/>
        </w:rPr>
        <w:t>1.4  主要研究结论</w:t>
      </w:r>
      <w:bookmarkEnd w:id="10"/>
      <w:bookmarkEnd w:id="11"/>
    </w:p>
    <w:p>
      <w:pPr>
        <w:adjustRightInd w:val="0"/>
        <w:snapToGrid w:val="0"/>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珠海汇华实验学校建成后</w:t>
      </w:r>
      <w:r>
        <w:rPr>
          <w:rFonts w:asciiTheme="minorEastAsia" w:hAnsiTheme="minorEastAsia" w:eastAsiaTheme="minorEastAsia"/>
          <w:sz w:val="24"/>
        </w:rPr>
        <w:t>，学生的学习</w:t>
      </w:r>
      <w:r>
        <w:rPr>
          <w:rFonts w:hint="eastAsia" w:asciiTheme="minorEastAsia" w:hAnsiTheme="minorEastAsia" w:eastAsiaTheme="minorEastAsia"/>
          <w:sz w:val="24"/>
        </w:rPr>
        <w:t>条件、学习环境</w:t>
      </w:r>
      <w:r>
        <w:rPr>
          <w:rFonts w:asciiTheme="minorEastAsia" w:hAnsiTheme="minorEastAsia" w:eastAsiaTheme="minorEastAsia"/>
          <w:sz w:val="24"/>
        </w:rPr>
        <w:t>能得到极大的改善，在“绿色校园”的氛围中健康成长，</w:t>
      </w:r>
      <w:r>
        <w:rPr>
          <w:rFonts w:hint="eastAsia" w:asciiTheme="minorEastAsia" w:hAnsiTheme="minorEastAsia" w:eastAsiaTheme="minorEastAsia"/>
          <w:sz w:val="24"/>
        </w:rPr>
        <w:t>建成后的珠海汇华实验学校</w:t>
      </w:r>
      <w:r>
        <w:rPr>
          <w:rFonts w:asciiTheme="minorEastAsia" w:hAnsiTheme="minorEastAsia" w:eastAsiaTheme="minorEastAsia"/>
          <w:sz w:val="24"/>
        </w:rPr>
        <w:t>将是一个布局合理、建筑协调、功能齐全</w:t>
      </w:r>
      <w:r>
        <w:rPr>
          <w:rFonts w:hint="eastAsia" w:asciiTheme="minorEastAsia" w:hAnsiTheme="minorEastAsia" w:eastAsiaTheme="minorEastAsia"/>
          <w:sz w:val="24"/>
        </w:rPr>
        <w:t>的学校，为学生提供良好、安全的学习条件和生活环境。</w:t>
      </w:r>
    </w:p>
    <w:p>
      <w:pPr>
        <w:adjustRightInd w:val="0"/>
        <w:snapToGrid w:val="0"/>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在项目的推进过程中，问题与建议如下：</w:t>
      </w:r>
    </w:p>
    <w:p>
      <w:pPr>
        <w:adjustRightInd w:val="0"/>
        <w:snapToGrid w:val="0"/>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1、建设项目的进度计划和项目的前期工作是密不可分的，在有限的建设周期内，建设的前期工作的进程显得尤为重要，并在项目实施阶段注意处理速度与质量效益的关系。</w:t>
      </w:r>
    </w:p>
    <w:p>
      <w:pPr>
        <w:adjustRightInd w:val="0"/>
        <w:snapToGrid w:val="0"/>
        <w:spacing w:line="520" w:lineRule="exact"/>
        <w:ind w:firstLine="480" w:firstLineChars="200"/>
        <w:rPr>
          <w:rFonts w:ascii="宋体" w:hAnsi="宋体"/>
          <w:sz w:val="24"/>
        </w:rPr>
      </w:pPr>
      <w:r>
        <w:rPr>
          <w:rFonts w:hint="eastAsia" w:asciiTheme="minorEastAsia" w:hAnsiTheme="minorEastAsia" w:eastAsiaTheme="minorEastAsia"/>
          <w:sz w:val="24"/>
        </w:rPr>
        <w:t>2、项目单位在实施该项目的建设工作中，应严格按照有关规定，同时应充分考虑建筑的科学性、前瞻性、经济性和适应性；加强环境与安全管理，科学组织施工，保证施工安全，同时采取相应措施减少粉尘的产生，减少对周边环境。</w:t>
      </w:r>
    </w:p>
    <w:p>
      <w:pPr>
        <w:rPr>
          <w:sz w:val="28"/>
          <w:szCs w:val="28"/>
        </w:rPr>
      </w:pP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2" w:name="_Toc498870083"/>
      <w:bookmarkStart w:id="13" w:name="_Toc509584566"/>
      <w:bookmarkStart w:id="14" w:name="_Toc509586046"/>
      <w:bookmarkStart w:id="15" w:name="_Toc515980380"/>
      <w:r>
        <w:rPr>
          <w:rFonts w:hint="eastAsia" w:ascii="宋体" w:hAnsi="宋体"/>
          <w:bCs w:val="0"/>
          <w:kern w:val="2"/>
          <w:sz w:val="36"/>
        </w:rPr>
        <w:t>第二章  需求分析与建设规模</w:t>
      </w:r>
      <w:bookmarkEnd w:id="12"/>
      <w:bookmarkEnd w:id="13"/>
      <w:bookmarkEnd w:id="14"/>
      <w:bookmarkEnd w:id="15"/>
    </w:p>
    <w:p>
      <w:pPr>
        <w:pStyle w:val="3"/>
      </w:pPr>
      <w:bookmarkStart w:id="16" w:name="_Toc509586047"/>
      <w:bookmarkStart w:id="17" w:name="_Toc515980381"/>
      <w:r>
        <w:rPr>
          <w:rFonts w:hint="eastAsia"/>
        </w:rPr>
        <w:t>2.1 区域社会经济发展概况与总体规划</w:t>
      </w:r>
      <w:bookmarkEnd w:id="16"/>
      <w:bookmarkEnd w:id="17"/>
    </w:p>
    <w:p>
      <w:pPr>
        <w:adjustRightInd w:val="0"/>
        <w:snapToGrid w:val="0"/>
        <w:spacing w:line="520" w:lineRule="exact"/>
        <w:ind w:firstLine="480" w:firstLineChars="200"/>
        <w:rPr>
          <w:rFonts w:ascii="宋体" w:hAnsi="宋体"/>
          <w:sz w:val="24"/>
        </w:rPr>
      </w:pPr>
      <w:r>
        <w:rPr>
          <w:rFonts w:hint="eastAsia" w:ascii="宋体" w:hAnsi="宋体"/>
          <w:sz w:val="24"/>
        </w:rPr>
        <w:t>珠海作为一个港口城市，港口是建设“蓝色珠海”的战略资源和发展引擎，港口经济是实现珠海“科学崛起”的战略支撑和重要增长极。港区将围绕港口经济参与全球经济中高端竞争的根本要求，努力打造珠海科学发展最重要的引擎、珠海全球化发展的大平台、现代化的临港经济示范区、国际化的港口城市和体制机制创新的先行区。2012年3月，经国务院批准，高栏港经济区升级为国家级经济技术开发区，定名为“珠海经济技术开发区”，成为珠江口西岸首个国家级经济技术开发区，是西江及南中国海走向世界的门户，是广东海洋经济最具活力和潜力的地区之一，更是珠海经济发展的引擎和龙头。</w:t>
      </w:r>
    </w:p>
    <w:p>
      <w:pPr>
        <w:adjustRightInd w:val="0"/>
        <w:snapToGrid w:val="0"/>
        <w:spacing w:line="520" w:lineRule="exact"/>
        <w:ind w:firstLine="480" w:firstLineChars="200"/>
        <w:rPr>
          <w:rFonts w:ascii="宋体" w:hAnsi="宋体"/>
          <w:sz w:val="24"/>
        </w:rPr>
      </w:pPr>
      <w:r>
        <w:rPr>
          <w:rFonts w:hint="eastAsia" w:ascii="宋体" w:hAnsi="宋体"/>
          <w:sz w:val="24"/>
        </w:rPr>
        <w:t>高栏港经济区地理位置十分优越，位于珠海市西南端、珠江鸡啼门至虎跳门出海口之间，东临三灶镇，与澳门隔海相望，东北接红旗镇、斗门区，东南、西南临南海，由高栏、南水两个半岛和三角山、荷包、大杧等18个海岛及黄茅海东部沿岸陆域和海域组成，开发总面积380平方公里；距离香港、澳门分别为45海里和11海里，最南端泊位距离国际主航道仅1海里。广珠铁路和高栏港高速通车后，高栏港可与珠三角地区形成2小时经济圈，辐射珠江口西岸城市群和华南、西南、中南地区,是西江及南中国海走向世界的门户，是广东海洋经济最具活力和潜力的地区之一。 国家一类对外开放口岸、全国沿海主枢纽港珠海港的主体港区—高栏港区位于高栏港经济区内。港池面积88平方公里，自然水深负8—10米，可利用自然岸线70多公里，可建设1—25万吨码头100多个，设计年货物吞吐量2亿吨，具备建设30万吨级以上原油码头条件；可实现江海联运。</w:t>
      </w:r>
    </w:p>
    <w:p>
      <w:pPr>
        <w:adjustRightInd w:val="0"/>
        <w:snapToGrid w:val="0"/>
        <w:spacing w:line="520" w:lineRule="exact"/>
        <w:ind w:firstLine="480" w:firstLineChars="200"/>
        <w:rPr>
          <w:rFonts w:ascii="宋体" w:hAnsi="宋体"/>
          <w:sz w:val="24"/>
        </w:rPr>
      </w:pPr>
      <w:r>
        <w:rPr>
          <w:rFonts w:hint="eastAsia" w:ascii="宋体" w:hAnsi="宋体"/>
          <w:sz w:val="24"/>
        </w:rPr>
        <w:t>高栏港经济区主要规划为五大功能板块，包括高栏石化区29平方公里，码头仓储区26平方公里，装备制造区40平方公里，精细化工区10平方公里，生活配套区30平方公里。随着《珠江三角洲地区改革发展规划纲要》的实施，高栏将发挥更加优越的核心优势，加速建设珠江口西岸核心城市。</w:t>
      </w:r>
    </w:p>
    <w:p>
      <w:pPr>
        <w:adjustRightInd w:val="0"/>
        <w:snapToGrid w:val="0"/>
        <w:spacing w:line="520" w:lineRule="exact"/>
        <w:ind w:firstLine="480" w:firstLineChars="200"/>
        <w:rPr>
          <w:rFonts w:ascii="宋体" w:hAnsi="宋体"/>
          <w:sz w:val="24"/>
        </w:rPr>
      </w:pPr>
      <w:r>
        <w:rPr>
          <w:rFonts w:hint="eastAsia" w:ascii="宋体" w:hAnsi="宋体"/>
          <w:sz w:val="24"/>
        </w:rPr>
        <w:t>高栏港经济区坚持“以港促产，以产兴城，港产城一体化发展”的工作思路，走港产城联动发展之路，做强港口、做优产业、做美新城。港口建设将以世界眼光、战略思维谋划珠海港发展，按照国际化标准管理营运港口，加快数字化港口建设，形成高端服务体系，确立国家能源接卸港、西江流域龙头港和华南枢纽大港的地位。临港产业将围绕核心资源，走加快临港工业崛起之路，加快建立能够参与全球经济中高端竞争的现代产业体系，率先形成临港产业高技术化、高端产业集群化、新兴产业规模化、物流服务先进化，打造成为世界级船舶和海洋工程装备制造基地、国家级清洁能源和石油化工基地以及区域性港口物流中心。平沙新城将按照“高端特征、滨海特点、岭南特色”的要求，高起点规划、高标准建设，坚持以人为本，发展绿色交通，力争“三年基本配套、五年形成雏形、八年逐步完善”，打造成为“滨海城市、温泉之乡、梦里家园”。</w:t>
      </w:r>
    </w:p>
    <w:p>
      <w:pPr>
        <w:adjustRightInd w:val="0"/>
        <w:snapToGrid w:val="0"/>
        <w:spacing w:line="520" w:lineRule="exact"/>
        <w:ind w:firstLine="480" w:firstLineChars="200"/>
        <w:rPr>
          <w:rFonts w:ascii="宋体" w:hAnsi="宋体"/>
          <w:sz w:val="24"/>
        </w:rPr>
      </w:pPr>
      <w:r>
        <w:rPr>
          <w:rFonts w:hint="eastAsia" w:ascii="宋体" w:hAnsi="宋体"/>
          <w:sz w:val="24"/>
        </w:rPr>
        <w:t>到2015年，全区地区生产总值超过500亿元，年工业总产值超过1500亿元，财政一般预算收入超过35亿元，全港货物吞吐量超过1.5亿吨，集装箱300万标箱。到2015年，平沙新城建设初具规模，港区成为珠海城市格局中的重要城市功能组团；民生福利、幸福指数总体接近香洲主城区水平。</w:t>
      </w:r>
    </w:p>
    <w:p>
      <w:pPr>
        <w:pStyle w:val="3"/>
      </w:pPr>
      <w:bookmarkStart w:id="18" w:name="_Toc496626690"/>
      <w:bookmarkStart w:id="19" w:name="_Toc515980382"/>
      <w:r>
        <w:rPr>
          <w:rFonts w:hint="eastAsia"/>
        </w:rPr>
        <w:t>2.2  教育发展规划</w:t>
      </w:r>
      <w:bookmarkEnd w:id="18"/>
      <w:bookmarkEnd w:id="19"/>
    </w:p>
    <w:p>
      <w:pPr>
        <w:spacing w:line="360" w:lineRule="auto"/>
        <w:rPr>
          <w:rFonts w:ascii="宋体" w:hAnsi="宋体"/>
          <w:b/>
          <w:sz w:val="24"/>
        </w:rPr>
      </w:pPr>
      <w:r>
        <w:rPr>
          <w:rFonts w:hint="eastAsia" w:ascii="宋体" w:hAnsi="宋体"/>
          <w:b/>
          <w:sz w:val="22"/>
        </w:rPr>
        <w:t>一、</w:t>
      </w:r>
      <w:r>
        <w:rPr>
          <w:rFonts w:hint="eastAsia"/>
          <w:b/>
          <w:sz w:val="24"/>
        </w:rPr>
        <w:t>珠海市教育发展与教育设施规划（2007-2020）</w:t>
      </w:r>
    </w:p>
    <w:p>
      <w:pPr>
        <w:spacing w:line="360" w:lineRule="auto"/>
        <w:ind w:firstLine="480"/>
        <w:rPr>
          <w:rFonts w:ascii="宋体" w:hAnsi="宋体"/>
          <w:sz w:val="24"/>
        </w:rPr>
      </w:pPr>
      <w:r>
        <w:rPr>
          <w:rFonts w:hint="eastAsia" w:ascii="宋体" w:hAnsi="宋体"/>
          <w:sz w:val="24"/>
        </w:rPr>
        <w:t>规划明确提出珠海教育事业的发展目标、发展策略，明确高等教育、职业教育、基础教育、幼儿教育等各类教育设施空间布局体系；确定各个布点的建设规模、服务范围及相关建设标准，进行各项设施布点规划；落实近期主城区建设项目用地。</w:t>
      </w:r>
    </w:p>
    <w:p>
      <w:pPr>
        <w:spacing w:line="360" w:lineRule="auto"/>
        <w:rPr>
          <w:rFonts w:ascii="宋体" w:hAnsi="宋体"/>
          <w:sz w:val="24"/>
        </w:rPr>
      </w:pPr>
      <w:r>
        <w:rPr>
          <w:rFonts w:hint="eastAsia" w:ascii="宋体" w:hAnsi="宋体"/>
          <w:sz w:val="24"/>
        </w:rPr>
        <w:t>1、中小学发展总目标</w:t>
      </w:r>
    </w:p>
    <w:p>
      <w:pPr>
        <w:spacing w:line="360" w:lineRule="auto"/>
        <w:ind w:firstLine="480"/>
        <w:rPr>
          <w:rFonts w:ascii="宋体" w:hAnsi="宋体"/>
          <w:sz w:val="24"/>
        </w:rPr>
      </w:pPr>
      <w:r>
        <w:rPr>
          <w:rFonts w:hint="eastAsia" w:ascii="宋体" w:hAnsi="宋体"/>
          <w:sz w:val="24"/>
        </w:rPr>
        <w:t>珠海市教育规划编制应与珠海当地社会事业发展状况相协调，统筹好规模和服务人口之间的关系，在满足珠海市总体规划和教育事业发展的条件下，统筹考虑珠海市各年龄段学生千人指标变化趋势、规划居住人口数量和空间布局特征等影响因素。要坚持规模办学，均衡发展，同时要兼顾中小学合理的服务半径，保证中小学生接受教育的公平性，优化办学条件，提高教育质量和办学效益。</w:t>
      </w:r>
    </w:p>
    <w:p>
      <w:pPr>
        <w:spacing w:line="360" w:lineRule="auto"/>
        <w:rPr>
          <w:rFonts w:ascii="宋体" w:hAnsi="宋体"/>
          <w:sz w:val="24"/>
        </w:rPr>
      </w:pPr>
      <w:r>
        <w:rPr>
          <w:rFonts w:hint="eastAsia" w:ascii="宋体" w:hAnsi="宋体"/>
          <w:sz w:val="24"/>
        </w:rPr>
        <w:t>2、珠海市千人学位数值</w:t>
      </w:r>
    </w:p>
    <w:p>
      <w:pPr>
        <w:spacing w:line="360" w:lineRule="auto"/>
        <w:ind w:firstLine="480" w:firstLineChars="200"/>
        <w:rPr>
          <w:rFonts w:ascii="宋体" w:hAnsi="宋体"/>
          <w:sz w:val="24"/>
        </w:rPr>
      </w:pPr>
      <w:r>
        <w:rPr>
          <w:rFonts w:hint="eastAsia" w:ascii="宋体" w:hAnsi="宋体"/>
          <w:sz w:val="24"/>
        </w:rPr>
        <w:t>规划根据珠海市常住人口总量的波动特征、人口年龄结构变化、在校学生数量的变化、流动人口增长趋势及分布发展等对珠海市千人学位数进行修正，修正后的结果如下表：</w:t>
      </w:r>
    </w:p>
    <w:tbl>
      <w:tblPr>
        <w:tblStyle w:val="1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315"/>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3" w:type="dxa"/>
            <w:vAlign w:val="center"/>
          </w:tcPr>
          <w:p>
            <w:pPr>
              <w:spacing w:line="360" w:lineRule="auto"/>
              <w:jc w:val="center"/>
              <w:rPr>
                <w:rFonts w:ascii="宋体" w:hAnsi="宋体"/>
                <w:sz w:val="24"/>
              </w:rPr>
            </w:pPr>
            <w:r>
              <w:rPr>
                <w:rFonts w:hint="eastAsia" w:ascii="宋体" w:hAnsi="宋体"/>
                <w:sz w:val="24"/>
              </w:rPr>
              <w:t>学龄段（岁）</w:t>
            </w:r>
          </w:p>
        </w:tc>
        <w:tc>
          <w:tcPr>
            <w:tcW w:w="1315" w:type="dxa"/>
            <w:vAlign w:val="center"/>
          </w:tcPr>
          <w:p>
            <w:pPr>
              <w:spacing w:line="360" w:lineRule="auto"/>
              <w:jc w:val="center"/>
              <w:rPr>
                <w:rFonts w:ascii="宋体" w:hAnsi="宋体"/>
                <w:sz w:val="24"/>
              </w:rPr>
            </w:pPr>
            <w:r>
              <w:rPr>
                <w:rFonts w:hint="eastAsia" w:ascii="宋体" w:hAnsi="宋体"/>
                <w:sz w:val="24"/>
              </w:rPr>
              <w:t>4-6</w:t>
            </w:r>
          </w:p>
        </w:tc>
        <w:tc>
          <w:tcPr>
            <w:tcW w:w="1704" w:type="dxa"/>
            <w:vAlign w:val="center"/>
          </w:tcPr>
          <w:p>
            <w:pPr>
              <w:spacing w:line="360" w:lineRule="auto"/>
              <w:jc w:val="center"/>
              <w:rPr>
                <w:rFonts w:ascii="宋体" w:hAnsi="宋体"/>
                <w:sz w:val="24"/>
              </w:rPr>
            </w:pPr>
            <w:r>
              <w:rPr>
                <w:rFonts w:hint="eastAsia" w:ascii="宋体" w:hAnsi="宋体"/>
                <w:sz w:val="24"/>
              </w:rPr>
              <w:t>7-12</w:t>
            </w:r>
          </w:p>
        </w:tc>
        <w:tc>
          <w:tcPr>
            <w:tcW w:w="1705" w:type="dxa"/>
            <w:vAlign w:val="center"/>
          </w:tcPr>
          <w:p>
            <w:pPr>
              <w:spacing w:line="360" w:lineRule="auto"/>
              <w:jc w:val="center"/>
              <w:rPr>
                <w:rFonts w:ascii="宋体" w:hAnsi="宋体"/>
                <w:sz w:val="24"/>
              </w:rPr>
            </w:pPr>
            <w:r>
              <w:rPr>
                <w:rFonts w:hint="eastAsia" w:ascii="宋体" w:hAnsi="宋体"/>
                <w:sz w:val="24"/>
              </w:rPr>
              <w:t>13-15</w:t>
            </w:r>
          </w:p>
        </w:tc>
        <w:tc>
          <w:tcPr>
            <w:tcW w:w="1705" w:type="dxa"/>
            <w:vAlign w:val="center"/>
          </w:tcPr>
          <w:p>
            <w:pPr>
              <w:spacing w:line="360" w:lineRule="auto"/>
              <w:jc w:val="center"/>
              <w:rPr>
                <w:rFonts w:ascii="宋体" w:hAnsi="宋体"/>
                <w:sz w:val="24"/>
              </w:rPr>
            </w:pPr>
            <w:r>
              <w:rPr>
                <w:rFonts w:hint="eastAsia" w:ascii="宋体" w:hAnsi="宋体"/>
                <w:sz w:val="24"/>
              </w:rPr>
              <w:t>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3" w:type="dxa"/>
            <w:vAlign w:val="center"/>
          </w:tcPr>
          <w:p>
            <w:pPr>
              <w:spacing w:line="360" w:lineRule="auto"/>
              <w:jc w:val="center"/>
              <w:rPr>
                <w:rFonts w:ascii="宋体" w:hAnsi="宋体"/>
                <w:sz w:val="24"/>
              </w:rPr>
            </w:pPr>
            <w:r>
              <w:rPr>
                <w:rFonts w:hint="eastAsia" w:ascii="宋体" w:hAnsi="宋体"/>
                <w:sz w:val="24"/>
              </w:rPr>
              <w:t>千人学位数</w:t>
            </w:r>
          </w:p>
          <w:p>
            <w:pPr>
              <w:spacing w:line="360" w:lineRule="auto"/>
              <w:jc w:val="center"/>
              <w:rPr>
                <w:rFonts w:ascii="宋体" w:hAnsi="宋体"/>
                <w:sz w:val="24"/>
              </w:rPr>
            </w:pPr>
            <w:r>
              <w:rPr>
                <w:rFonts w:hint="eastAsia" w:ascii="宋体" w:hAnsi="宋体"/>
                <w:sz w:val="24"/>
              </w:rPr>
              <w:t>（学位数/千人）</w:t>
            </w:r>
          </w:p>
        </w:tc>
        <w:tc>
          <w:tcPr>
            <w:tcW w:w="1315" w:type="dxa"/>
            <w:vAlign w:val="center"/>
          </w:tcPr>
          <w:p>
            <w:pPr>
              <w:spacing w:line="360" w:lineRule="auto"/>
              <w:jc w:val="center"/>
              <w:rPr>
                <w:rFonts w:ascii="宋体" w:hAnsi="宋体"/>
                <w:sz w:val="24"/>
              </w:rPr>
            </w:pPr>
            <w:r>
              <w:rPr>
                <w:rFonts w:hint="eastAsia" w:ascii="宋体" w:hAnsi="宋体"/>
                <w:sz w:val="24"/>
              </w:rPr>
              <w:t>45</w:t>
            </w:r>
          </w:p>
        </w:tc>
        <w:tc>
          <w:tcPr>
            <w:tcW w:w="1704" w:type="dxa"/>
            <w:vAlign w:val="center"/>
          </w:tcPr>
          <w:p>
            <w:pPr>
              <w:spacing w:line="360" w:lineRule="auto"/>
              <w:jc w:val="center"/>
              <w:rPr>
                <w:rFonts w:ascii="宋体" w:hAnsi="宋体"/>
                <w:sz w:val="24"/>
              </w:rPr>
            </w:pPr>
            <w:r>
              <w:rPr>
                <w:rFonts w:hint="eastAsia" w:ascii="宋体" w:hAnsi="宋体"/>
                <w:sz w:val="24"/>
              </w:rPr>
              <w:t>85</w:t>
            </w:r>
          </w:p>
        </w:tc>
        <w:tc>
          <w:tcPr>
            <w:tcW w:w="1705" w:type="dxa"/>
            <w:vAlign w:val="center"/>
          </w:tcPr>
          <w:p>
            <w:pPr>
              <w:spacing w:line="360" w:lineRule="auto"/>
              <w:jc w:val="center"/>
              <w:rPr>
                <w:rFonts w:ascii="宋体" w:hAnsi="宋体"/>
                <w:sz w:val="24"/>
              </w:rPr>
            </w:pPr>
            <w:r>
              <w:rPr>
                <w:rFonts w:hint="eastAsia" w:ascii="宋体" w:hAnsi="宋体"/>
                <w:sz w:val="24"/>
              </w:rPr>
              <w:t>43</w:t>
            </w:r>
          </w:p>
        </w:tc>
        <w:tc>
          <w:tcPr>
            <w:tcW w:w="1705" w:type="dxa"/>
            <w:vAlign w:val="center"/>
          </w:tcPr>
          <w:p>
            <w:pPr>
              <w:spacing w:line="360" w:lineRule="auto"/>
              <w:jc w:val="center"/>
              <w:rPr>
                <w:rFonts w:ascii="宋体" w:hAnsi="宋体"/>
                <w:sz w:val="24"/>
              </w:rPr>
            </w:pPr>
            <w:r>
              <w:rPr>
                <w:rFonts w:hint="eastAsia" w:ascii="宋体" w:hAnsi="宋体"/>
                <w:sz w:val="24"/>
              </w:rPr>
              <w:t>42</w:t>
            </w:r>
          </w:p>
        </w:tc>
      </w:tr>
    </w:tbl>
    <w:p>
      <w:pPr>
        <w:pStyle w:val="3"/>
      </w:pPr>
      <w:bookmarkStart w:id="20" w:name="_Toc509586048"/>
      <w:bookmarkStart w:id="21" w:name="_Toc515980383"/>
      <w:r>
        <w:rPr>
          <w:rFonts w:hint="eastAsia"/>
        </w:rPr>
        <w:t>2.3  珠海相似项目情况</w:t>
      </w:r>
      <w:bookmarkEnd w:id="20"/>
      <w:bookmarkEnd w:id="21"/>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目前平沙镇共有7所小学，3所中学，分别为平沙中心小学、平沙华丰小学</w:t>
      </w:r>
      <w:r>
        <w:rPr>
          <w:rFonts w:hint="eastAsia" w:asciiTheme="minorEastAsia" w:hAnsiTheme="minorEastAsia" w:eastAsiaTheme="minorEastAsia"/>
          <w:b/>
          <w:sz w:val="24"/>
        </w:rPr>
        <w:t>、</w:t>
      </w:r>
      <w:r>
        <w:rPr>
          <w:rFonts w:hint="eastAsia" w:asciiTheme="minorEastAsia" w:hAnsiTheme="minorEastAsia" w:eastAsiaTheme="minorEastAsia"/>
          <w:sz w:val="24"/>
        </w:rPr>
        <w:t>平沙实验小学、平沙中心小学南新教学点、平沙实验小学大海环教学点、平沙华丰小学北水教学点、平沙连湾小学，平沙镇第一中学，平沙镇第二中学，平沙镇第三中学。目前由于这些学校布局方面的原因，学生上学、放学因路途远而极为不便。低年级学生的家长每天需接送四次，花去大量的时间精力；高年级的学生自己骑单车上学，不管刮风下雨，一天四趟在路上要花几个小时。外来工子弟还无法享受与本地户籍学生同等的义务教育和公平教育，珠海市承诺的投资优惠政策也无法兑现。与主城区相比，高栏港区在办学条件、教师素质、教育质量等方面存在较大的差距。学生小学基础不好，中学条件也差，造成高考升学率远低于珠海市中心城区，教育差别较大的现状与高栏港区的定位形象极不协调。</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根据高栏港区社会保障和公共事业局和平沙镇学区办发布的港区中小学及平沙幼儿园的招生方案和细则，其中，中小学学区划分为：</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（1）平沙中心小学：东至南新岭脚，西至美平一街以东，南至升平大道（即美平一街以东至升平大道北、平东大道西侧）。</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（2）平沙华丰小学：东至美平一街以西，西至美平三街以东，南至升平大道（即美平一街以西至美平三街以东）。</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（3）平沙实验小学：东至美平三街以西，平塘社区、前锋社区、前西社区、大虎社区、沙美社区、前进社区、海泉湾。</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（4）平沙中心小学南新教学点：南新社区、南新岭码头山。</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平沙实验小学大海环教学点：北至升平大道以南（含恒丰新村和立新六队）、大海环社区。在学位许可的情况下，居住在西海岸小区但工作单位在高栏港区范围内的非本区户籍适龄儿童，只可选择大海环小学教学点就读。</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（6）平沙华丰小学北水教学点：连湾社区的卫东片、北水片。</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（7）平沙连湾小学 ：连湾社区的连湾片。</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（8）平沙镇第一中学：位于高栏港经济区直接腹地的平沙镇</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（9）平沙镇第二中学：位于</w:t>
      </w:r>
      <w:r>
        <w:rPr>
          <w:rFonts w:asciiTheme="minorEastAsia" w:hAnsiTheme="minorEastAsia" w:eastAsiaTheme="minorEastAsia"/>
          <w:sz w:val="24"/>
        </w:rPr>
        <w:t>珠海市金湾区平沙镇的中心区</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（10）平沙镇第三中学：</w:t>
      </w:r>
      <w:r>
        <w:rPr>
          <w:rFonts w:asciiTheme="minorEastAsia" w:hAnsiTheme="minorEastAsia" w:eastAsiaTheme="minorEastAsia"/>
          <w:sz w:val="24"/>
        </w:rPr>
        <w:t>位于广东省珠海市金湾区平沙镇</w:t>
      </w:r>
      <w:r>
        <w:fldChar w:fldCharType="begin"/>
      </w:r>
      <w:r>
        <w:instrText xml:space="preserve"> HYPERLINK "https://baike.baidu.com/item/%E5%8C%97%E6%B0%B4%E6%9D%91" \t "_blank" </w:instrText>
      </w:r>
      <w:r>
        <w:fldChar w:fldCharType="separate"/>
      </w:r>
      <w:r>
        <w:rPr>
          <w:rFonts w:asciiTheme="minorEastAsia" w:hAnsiTheme="minorEastAsia" w:eastAsiaTheme="minorEastAsia"/>
          <w:sz w:val="24"/>
        </w:rPr>
        <w:t>北水村</w:t>
      </w:r>
      <w:r>
        <w:rPr>
          <w:rFonts w:asciiTheme="minorEastAsia" w:hAnsiTheme="minorEastAsia" w:eastAsiaTheme="minorEastAsia"/>
          <w:sz w:val="24"/>
        </w:rPr>
        <w:fldChar w:fldCharType="end"/>
      </w:r>
    </w:p>
    <w:p>
      <w:pPr>
        <w:pStyle w:val="3"/>
      </w:pPr>
      <w:bookmarkStart w:id="22" w:name="_Toc515980384"/>
      <w:r>
        <w:rPr>
          <w:rFonts w:hint="eastAsia"/>
        </w:rPr>
        <w:t>2.4  项目需求分析</w:t>
      </w:r>
      <w:bookmarkEnd w:id="22"/>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高栏港区珠海汇华实验学校是一所区域性教育机构。学校立足高栏港区平沙新城片区、辐射周边各县市，以市场为导向，按照现代学校管理和现代企业管理体制，以高标准、高起点进行建设。 本项目总用地面积约32000平方米，用地性质为教育用地，办学规模为36个教学班+6个活动教室，总建筑面积约37629平方米，其中地上面积约32629平方米，包括综合行政实验楼7556平方米，教学楼12291平方米，文体馆4928平方米等。宿舍约7854平方米。地下一层，建筑面积约5000平方米，用于停车及设备用房。</w:t>
      </w:r>
    </w:p>
    <w:p>
      <w:pPr>
        <w:spacing w:line="360" w:lineRule="auto"/>
        <w:ind w:firstLine="480" w:firstLineChars="200"/>
        <w:rPr>
          <w:rFonts w:ascii="宋体" w:hAnsi="宋体"/>
          <w:color w:val="000000"/>
          <w:sz w:val="24"/>
        </w:rPr>
      </w:pPr>
      <w:r>
        <w:rPr>
          <w:rFonts w:hint="eastAsia" w:ascii="宋体" w:hAnsi="宋体"/>
          <w:color w:val="000000"/>
          <w:sz w:val="24"/>
        </w:rPr>
        <w:t>知识是人类社会发展的原动力，而教育是人类获得知识的本源。当今社会是一个知识经济型社会，知识和拥有知识的人才是未来经济增长最宝贵的战略资源，教育与科教已经成为经济和社会发展的引擎。</w:t>
      </w:r>
    </w:p>
    <w:p>
      <w:pPr>
        <w:spacing w:line="360" w:lineRule="auto"/>
        <w:ind w:firstLine="480" w:firstLineChars="200"/>
        <w:rPr>
          <w:rFonts w:ascii="宋体" w:hAnsi="宋体"/>
          <w:color w:val="auto"/>
          <w:sz w:val="24"/>
        </w:rPr>
      </w:pPr>
      <w:r>
        <w:rPr>
          <w:rFonts w:hint="eastAsia" w:ascii="宋体" w:hAnsi="宋体"/>
          <w:color w:val="auto"/>
          <w:sz w:val="24"/>
        </w:rPr>
        <w:t>初级中学教育是基础教育的重要组成部分，初级中学的建设是珠海教育事业发展的一个难得的契机。办好初级中学教育，对提高珠海人口素质、缓解珠海本地人才的短缺起到不可忽视的作用。该项目的建设为此提供了物质条件。</w:t>
      </w:r>
    </w:p>
    <w:p>
      <w:pPr>
        <w:spacing w:line="360" w:lineRule="auto"/>
        <w:ind w:firstLine="480" w:firstLineChars="200"/>
        <w:rPr>
          <w:rFonts w:hint="eastAsia" w:ascii="宋体" w:hAnsi="宋体"/>
          <w:color w:val="000000"/>
          <w:sz w:val="24"/>
        </w:rPr>
      </w:pPr>
      <w:r>
        <w:rPr>
          <w:rFonts w:hint="eastAsia" w:ascii="宋体" w:hAnsi="宋体"/>
          <w:color w:val="000000"/>
          <w:sz w:val="24"/>
        </w:rPr>
        <w:t>随着珠海经济社会的快速发展，居住人数逐年增多，中小学适龄学生人数以每年 2-3 个班的速度增长。随着国家二胎政策的开放，该片区学位紧张的情况势必加剧。为进一步改善学校办学条件，增加学位数量，满足平沙镇人民群众逐年提高的学位需求，结合平沙镇学校学位的实际情况，将珠海汇华实验学校建设纳入近三年教育建设计划。该项目按计划建成投入使用后，班数将有 36 个教学班+6个活动教室，可以较好地解决目前平沙区域学位短缺的问题。</w:t>
      </w:r>
    </w:p>
    <w:p>
      <w:pPr>
        <w:spacing w:line="360" w:lineRule="auto"/>
        <w:ind w:firstLine="480" w:firstLineChars="200"/>
        <w:rPr>
          <w:rFonts w:hint="eastAsia" w:ascii="宋体" w:hAnsi="宋体"/>
          <w:color w:val="000000"/>
          <w:sz w:val="24"/>
        </w:rPr>
      </w:pPr>
      <w:r>
        <w:rPr>
          <w:rFonts w:hint="eastAsia" w:ascii="宋体" w:hAnsi="宋体"/>
          <w:color w:val="000000"/>
          <w:sz w:val="24"/>
        </w:rPr>
        <w:t>鉴于上述原因，建议珠海汇华实验学校进行新建，按照《广东省义务教育标准化学校标准》粤教基 （ 2013） 17 号的标准，学校将建设拥有 36 个教学班+6个活动教室。</w:t>
      </w:r>
    </w:p>
    <w:p>
      <w:pPr>
        <w:pStyle w:val="3"/>
      </w:pPr>
      <w:bookmarkStart w:id="23" w:name="_Toc515980385"/>
      <w:bookmarkStart w:id="24" w:name="_Toc509586049"/>
      <w:r>
        <w:rPr>
          <w:rFonts w:hint="eastAsia"/>
        </w:rPr>
        <w:t>2.5  建设需求</w:t>
      </w:r>
      <w:bookmarkEnd w:id="23"/>
      <w:bookmarkEnd w:id="24"/>
    </w:p>
    <w:p>
      <w:pPr>
        <w:spacing w:line="360" w:lineRule="auto"/>
        <w:ind w:firstLine="480" w:firstLineChars="200"/>
        <w:rPr>
          <w:rFonts w:hint="eastAsia" w:ascii="宋体" w:hAnsi="宋体"/>
          <w:color w:val="000000"/>
          <w:sz w:val="24"/>
        </w:rPr>
      </w:pPr>
      <w:r>
        <w:rPr>
          <w:rFonts w:hint="eastAsia" w:asciiTheme="minorEastAsia" w:hAnsiTheme="minorEastAsia" w:eastAsiaTheme="minorEastAsia"/>
          <w:sz w:val="24"/>
        </w:rPr>
        <w:t>近年生源逐年增多，</w:t>
      </w:r>
      <w:r>
        <w:rPr>
          <w:rFonts w:hint="eastAsia" w:ascii="宋体" w:hAnsi="宋体"/>
          <w:color w:val="000000"/>
          <w:sz w:val="24"/>
        </w:rPr>
        <w:t>《珠海市中长期教育改革和发展纲要（2010-2020 年））中提出：“健全城乡一体化教育发展机制。实行全市城乡统一的义务教育学校建设标准、教职员编制标准、教职员工资标准和公用经费标准，以满足常住人口子女就近入学为目标，合理规划义务教育学校建设，实行教师配置、经费拨付、学位分配城乡一体化。” 平沙镇区域内各小区开发已极具规模，人口及外来人口每年增量递增，但在近几年的投入中，在该区域内新建的义务教育阶段学校较少，教育设施的配套明显滞后于城市发展步伐。现有义务教育阶段学校的办学规模已不能适应该区域学生就学的需要，都出现了班额过大、学位紧缺等种种问题，学生上学难。因此，项目建设是满足常住人口子女就近入学为目标，落实合理规划义务教育学校建设，合理配置教育资源，化解班级学生人数超额矛盾的需要。</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根据《珠海汇华实验学校项目勘察设计招标文件》，工程规模及招标内容，以满足周边生源入学需求。本次建设规模建设规模36个班6个活动教室。</w:t>
      </w:r>
    </w:p>
    <w:p>
      <w:pPr>
        <w:pStyle w:val="4"/>
        <w:spacing w:line="360" w:lineRule="auto"/>
        <w:rPr>
          <w:rFonts w:ascii="宋体" w:hAnsi="宋体"/>
          <w:szCs w:val="28"/>
        </w:rPr>
      </w:pPr>
      <w:bookmarkStart w:id="25" w:name="_Toc496626692"/>
      <w:bookmarkStart w:id="26" w:name="_Toc515980386"/>
      <w:r>
        <w:rPr>
          <w:rFonts w:hint="eastAsia" w:ascii="宋体" w:hAnsi="宋体"/>
          <w:szCs w:val="28"/>
        </w:rPr>
        <w:t>2.6  建设规模与建设标准</w:t>
      </w:r>
      <w:bookmarkEnd w:id="25"/>
      <w:bookmarkEnd w:id="26"/>
    </w:p>
    <w:p>
      <w:pPr>
        <w:adjustRightInd w:val="0"/>
        <w:snapToGrid w:val="0"/>
        <w:spacing w:line="360" w:lineRule="auto"/>
        <w:ind w:firstLine="472" w:firstLineChars="196"/>
        <w:rPr>
          <w:rFonts w:ascii="宋体" w:hAnsi="宋体"/>
          <w:b/>
          <w:sz w:val="24"/>
        </w:rPr>
      </w:pPr>
      <w:r>
        <w:rPr>
          <w:rFonts w:hint="eastAsia" w:ascii="宋体" w:hAnsi="宋体"/>
          <w:b/>
          <w:sz w:val="24"/>
        </w:rPr>
        <w:t>一、建设标准</w:t>
      </w:r>
    </w:p>
    <w:p>
      <w:pPr>
        <w:adjustRightInd w:val="0"/>
        <w:snapToGrid w:val="0"/>
        <w:spacing w:line="360" w:lineRule="auto"/>
        <w:ind w:firstLine="472" w:firstLineChars="196"/>
        <w:rPr>
          <w:rFonts w:ascii="宋体" w:hAnsi="宋体"/>
          <w:b/>
          <w:sz w:val="24"/>
        </w:rPr>
      </w:pPr>
      <w:r>
        <w:rPr>
          <w:rFonts w:hint="eastAsia" w:ascii="宋体" w:hAnsi="宋体"/>
          <w:b/>
          <w:sz w:val="24"/>
        </w:rPr>
        <w:t>本项目建设规模的引用标准主要有：</w:t>
      </w:r>
    </w:p>
    <w:p>
      <w:pPr>
        <w:adjustRightInd w:val="0"/>
        <w:snapToGrid w:val="0"/>
        <w:spacing w:line="360" w:lineRule="auto"/>
        <w:ind w:firstLine="470" w:firstLineChars="196"/>
        <w:rPr>
          <w:rFonts w:ascii="宋体" w:hAnsi="宋体"/>
          <w:b/>
          <w:sz w:val="24"/>
        </w:rPr>
      </w:pPr>
      <w:r>
        <w:rPr>
          <w:rFonts w:hint="eastAsia" w:ascii="宋体" w:hAnsi="宋体"/>
          <w:sz w:val="24"/>
        </w:rPr>
        <w:t>1、《普通中小学校建设标准（征求意见稿）》（教发司[2015]117号2015年7月27日）</w:t>
      </w:r>
    </w:p>
    <w:p>
      <w:pPr>
        <w:adjustRightInd w:val="0"/>
        <w:snapToGrid w:val="0"/>
        <w:spacing w:line="360" w:lineRule="auto"/>
        <w:ind w:firstLine="470" w:firstLineChars="196"/>
        <w:rPr>
          <w:rFonts w:ascii="宋体" w:hAnsi="宋体"/>
          <w:sz w:val="24"/>
        </w:rPr>
      </w:pPr>
      <w:r>
        <w:rPr>
          <w:rFonts w:hint="eastAsia" w:ascii="宋体" w:hAnsi="宋体"/>
          <w:sz w:val="24"/>
        </w:rPr>
        <w:t>2、《深圳市普通中小学校建设标准指引》（2016年4月）</w:t>
      </w:r>
    </w:p>
    <w:p>
      <w:pPr>
        <w:adjustRightInd w:val="0"/>
        <w:snapToGrid w:val="0"/>
        <w:spacing w:line="360" w:lineRule="auto"/>
        <w:ind w:firstLine="472" w:firstLineChars="196"/>
        <w:rPr>
          <w:rFonts w:ascii="宋体" w:hAnsi="宋体"/>
          <w:b/>
          <w:sz w:val="24"/>
        </w:rPr>
      </w:pPr>
      <w:r>
        <w:rPr>
          <w:rFonts w:hint="eastAsia" w:ascii="宋体" w:hAnsi="宋体"/>
          <w:b/>
          <w:sz w:val="24"/>
        </w:rPr>
        <w:t>二、用地规模</w:t>
      </w:r>
    </w:p>
    <w:p>
      <w:pPr>
        <w:adjustRightInd w:val="0"/>
        <w:snapToGrid w:val="0"/>
        <w:spacing w:line="360" w:lineRule="auto"/>
        <w:ind w:firstLine="470" w:firstLineChars="196"/>
        <w:rPr>
          <w:rFonts w:ascii="宋体" w:hAnsi="宋体"/>
          <w:sz w:val="24"/>
        </w:rPr>
      </w:pPr>
      <w:r>
        <w:rPr>
          <w:rFonts w:hint="eastAsia" w:ascii="宋体" w:hAnsi="宋体"/>
          <w:sz w:val="24"/>
        </w:rPr>
        <w:t>本项目为新建项目，珠海汇华实验学校新建项目可用地面积为32000平方米</w:t>
      </w:r>
      <w:r>
        <w:rPr>
          <w:rFonts w:hint="eastAsia"/>
          <w:sz w:val="24"/>
        </w:rPr>
        <w:t>。</w:t>
      </w:r>
    </w:p>
    <w:p>
      <w:pPr>
        <w:adjustRightInd w:val="0"/>
        <w:snapToGrid w:val="0"/>
        <w:spacing w:before="240" w:line="360" w:lineRule="auto"/>
        <w:ind w:firstLine="472" w:firstLineChars="196"/>
        <w:rPr>
          <w:rFonts w:ascii="宋体" w:hAnsi="宋体"/>
          <w:b/>
          <w:sz w:val="24"/>
        </w:rPr>
      </w:pPr>
      <w:r>
        <w:rPr>
          <w:rFonts w:hint="eastAsia" w:ascii="宋体" w:hAnsi="宋体"/>
          <w:b/>
          <w:sz w:val="24"/>
        </w:rPr>
        <w:t>三、校舍建设规模</w:t>
      </w:r>
    </w:p>
    <w:p>
      <w:pPr>
        <w:adjustRightInd w:val="0"/>
        <w:snapToGrid w:val="0"/>
        <w:spacing w:line="520" w:lineRule="exact"/>
        <w:ind w:firstLine="480" w:firstLineChars="200"/>
        <w:rPr>
          <w:rFonts w:ascii="宋体" w:hAnsi="宋体"/>
          <w:sz w:val="24"/>
        </w:rPr>
      </w:pPr>
      <w:r>
        <w:rPr>
          <w:rFonts w:hint="eastAsia" w:ascii="宋体" w:hAnsi="宋体"/>
          <w:sz w:val="24"/>
        </w:rPr>
        <w:t>1、必配校舍</w:t>
      </w:r>
    </w:p>
    <w:p>
      <w:pPr>
        <w:adjustRightInd w:val="0"/>
        <w:snapToGrid w:val="0"/>
        <w:spacing w:line="520" w:lineRule="exact"/>
        <w:ind w:firstLine="480" w:firstLineChars="200"/>
        <w:rPr>
          <w:rFonts w:ascii="宋体" w:hAnsi="宋体"/>
          <w:sz w:val="24"/>
        </w:rPr>
      </w:pPr>
      <w:r>
        <w:rPr>
          <w:rFonts w:hint="eastAsia" w:ascii="宋体" w:hAnsi="宋体"/>
          <w:sz w:val="24"/>
        </w:rPr>
        <w:t>必配校舍建设规模的确定通过对比《广东省义务教育标准化学校标准》（2013年9月1日实施）、《普通中小学校建设标准（征求意见稿）》（教发司[2015]117号2015年7月27日）、《深圳市普通中小学校建设标准指引》（2016年4月）等标准，必配校舍确定采用《深圳市普通中小学校建设标准指引》（2016年4月），并根据学校的用地情况等实际因素进行微调。比选过程如下：</w:t>
      </w:r>
    </w:p>
    <w:p>
      <w:pPr>
        <w:adjustRightInd w:val="0"/>
        <w:snapToGrid w:val="0"/>
        <w:spacing w:line="520" w:lineRule="exact"/>
        <w:ind w:firstLine="482" w:firstLineChars="200"/>
        <w:rPr>
          <w:rFonts w:ascii="宋体" w:hAnsi="宋体" w:cs="宋体"/>
          <w:b/>
          <w:sz w:val="24"/>
          <w:szCs w:val="20"/>
        </w:rPr>
      </w:pPr>
      <w:r>
        <w:rPr>
          <w:rFonts w:hint="eastAsia" w:ascii="宋体" w:hAnsi="宋体" w:cs="宋体"/>
          <w:b/>
          <w:sz w:val="24"/>
          <w:szCs w:val="20"/>
        </w:rPr>
        <w:t>A、</w:t>
      </w:r>
      <w:r>
        <w:rPr>
          <w:rFonts w:hint="eastAsia" w:ascii="宋体" w:hAnsi="宋体"/>
          <w:b/>
          <w:sz w:val="24"/>
        </w:rPr>
        <w:t>《广东省义务教育标准化学校标准》（2013年9月1日实施）</w:t>
      </w:r>
    </w:p>
    <w:p>
      <w:pPr>
        <w:adjustRightInd w:val="0"/>
        <w:snapToGrid w:val="0"/>
        <w:spacing w:line="520" w:lineRule="exact"/>
        <w:ind w:firstLine="480" w:firstLineChars="200"/>
        <w:rPr>
          <w:rFonts w:ascii="宋体" w:hAnsi="宋体"/>
          <w:sz w:val="24"/>
        </w:rPr>
      </w:pPr>
      <w:r>
        <w:rPr>
          <w:rFonts w:hint="eastAsia" w:ascii="宋体" w:hAnsi="宋体"/>
          <w:sz w:val="24"/>
        </w:rPr>
        <w:t>根据《广东省义务教育标准化学校标准》（2013年9月1日实施）小学（不含宿舍）生均校舍建筑面积（不含宿舍、体育馆、连廊、架空层）不低于7平方米。珠海汇华实验学校目标办学规模为36个班、6个活动教室，学生人数为1620人的九年一贯制学校，按照最低标准，其校舍建筑面积为11340平方米。</w:t>
      </w:r>
    </w:p>
    <w:p>
      <w:pPr>
        <w:adjustRightInd w:val="0"/>
        <w:snapToGrid w:val="0"/>
        <w:spacing w:line="520" w:lineRule="exact"/>
        <w:ind w:firstLine="482" w:firstLineChars="200"/>
        <w:rPr>
          <w:rFonts w:ascii="宋体" w:hAnsi="宋体" w:cs="宋体"/>
          <w:b/>
          <w:sz w:val="24"/>
          <w:szCs w:val="20"/>
        </w:rPr>
      </w:pPr>
      <w:r>
        <w:rPr>
          <w:rFonts w:hint="eastAsia" w:ascii="宋体" w:hAnsi="宋体" w:cs="宋体"/>
          <w:b/>
          <w:sz w:val="24"/>
          <w:szCs w:val="20"/>
        </w:rPr>
        <w:t>B、</w:t>
      </w:r>
      <w:r>
        <w:rPr>
          <w:rFonts w:hint="eastAsia" w:ascii="宋体" w:hAnsi="宋体"/>
          <w:b/>
          <w:sz w:val="24"/>
        </w:rPr>
        <w:t>《深圳市普通中小学校建设标准指引》（2016年4月）</w:t>
      </w:r>
    </w:p>
    <w:p>
      <w:pPr>
        <w:adjustRightInd w:val="0"/>
        <w:snapToGrid w:val="0"/>
        <w:spacing w:line="520" w:lineRule="exact"/>
        <w:ind w:firstLine="480" w:firstLineChars="200"/>
        <w:rPr>
          <w:rFonts w:cs="宋体"/>
          <w:sz w:val="24"/>
          <w:szCs w:val="20"/>
        </w:rPr>
      </w:pPr>
      <w:r>
        <w:rPr>
          <w:rFonts w:hint="eastAsia" w:cs="宋体"/>
          <w:sz w:val="24"/>
          <w:szCs w:val="20"/>
        </w:rPr>
        <w:t>根据</w:t>
      </w:r>
      <w:r>
        <w:rPr>
          <w:rFonts w:hint="eastAsia" w:ascii="宋体" w:hAnsi="宋体"/>
          <w:sz w:val="24"/>
        </w:rPr>
        <w:t>《深圳市普通中小学校建设标准指引》（2016年4月），36个班、1620人的标准完全小学必配校舍建筑面积为18623平方米。</w:t>
      </w:r>
    </w:p>
    <w:p>
      <w:pPr>
        <w:adjustRightInd w:val="0"/>
        <w:snapToGrid w:val="0"/>
        <w:spacing w:line="520" w:lineRule="exact"/>
        <w:ind w:firstLine="480" w:firstLineChars="200"/>
        <w:rPr>
          <w:rFonts w:cs="宋体"/>
          <w:sz w:val="24"/>
          <w:szCs w:val="20"/>
        </w:rPr>
      </w:pPr>
      <w:r>
        <w:rPr>
          <w:rFonts w:hint="eastAsia" w:cs="宋体"/>
          <w:sz w:val="24"/>
          <w:szCs w:val="20"/>
        </w:rPr>
        <w:t>深圳标准主要规定如下：</w:t>
      </w:r>
    </w:p>
    <w:p>
      <w:pPr>
        <w:widowControl/>
        <w:spacing w:line="0" w:lineRule="atLeast"/>
        <w:jc w:val="left"/>
        <w:rPr>
          <w:rFonts w:ascii="宋体" w:hAnsi="宋体" w:cs="宋体"/>
          <w:kern w:val="0"/>
          <w:sz w:val="24"/>
        </w:rPr>
      </w:pPr>
      <w:r>
        <w:rPr>
          <w:rFonts w:ascii="宋体" w:hAnsi="宋体" w:cs="宋体"/>
          <w:kern w:val="0"/>
          <w:sz w:val="24"/>
        </w:rPr>
        <w:drawing>
          <wp:inline distT="0" distB="0" distL="0" distR="0">
            <wp:extent cx="5272405" cy="3004185"/>
            <wp:effectExtent l="19050" t="0" r="4445" b="0"/>
            <wp:docPr id="10" name="图片 17" descr="../AppData/Roaming/Tencent/Users/1020753951/QQ/WinTemp/RichOle/NFV8X~LZMZST45NK%7bM%25%25G%7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AppData/Roaming/Tencent/Users/1020753951/QQ/WinTemp/RichOle/NFV8X~LZMZST45NK%7bM%25%25G%7bS.png"/>
                    <pic:cNvPicPr>
                      <a:picLocks noChangeAspect="1" noChangeArrowheads="1"/>
                    </pic:cNvPicPr>
                  </pic:nvPicPr>
                  <pic:blipFill>
                    <a:blip r:embed="rId7" r:link="rId8"/>
                    <a:srcRect/>
                    <a:stretch>
                      <a:fillRect/>
                    </a:stretch>
                  </pic:blipFill>
                  <pic:spPr>
                    <a:xfrm>
                      <a:off x="0" y="0"/>
                      <a:ext cx="5272405" cy="3004185"/>
                    </a:xfrm>
                    <a:prstGeom prst="rect">
                      <a:avLst/>
                    </a:prstGeom>
                    <a:noFill/>
                    <a:ln w="9525">
                      <a:noFill/>
                      <a:miter lim="800000"/>
                      <a:headEnd/>
                      <a:tailEnd/>
                    </a:ln>
                  </pic:spPr>
                </pic:pic>
              </a:graphicData>
            </a:graphic>
          </wp:inline>
        </w:drawing>
      </w:r>
    </w:p>
    <w:p>
      <w:pPr>
        <w:widowControl/>
        <w:spacing w:line="0" w:lineRule="atLeast"/>
        <w:jc w:val="left"/>
        <w:rPr>
          <w:rFonts w:cs="宋体"/>
          <w:sz w:val="24"/>
          <w:szCs w:val="20"/>
        </w:rPr>
      </w:pPr>
      <w:r>
        <w:rPr>
          <w:rFonts w:cs="宋体"/>
          <w:sz w:val="24"/>
          <w:szCs w:val="20"/>
        </w:rPr>
        <w:drawing>
          <wp:inline distT="0" distB="0" distL="0" distR="0">
            <wp:extent cx="5046980" cy="4643120"/>
            <wp:effectExtent l="1905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srcRect/>
                    <a:stretch>
                      <a:fillRect/>
                    </a:stretch>
                  </pic:blipFill>
                  <pic:spPr>
                    <a:xfrm>
                      <a:off x="0" y="0"/>
                      <a:ext cx="5046980" cy="4643120"/>
                    </a:xfrm>
                    <a:prstGeom prst="rect">
                      <a:avLst/>
                    </a:prstGeom>
                    <a:noFill/>
                    <a:ln w="9525">
                      <a:noFill/>
                      <a:miter lim="800000"/>
                      <a:headEnd/>
                      <a:tailEnd/>
                    </a:ln>
                  </pic:spPr>
                </pic:pic>
              </a:graphicData>
            </a:graphic>
          </wp:inline>
        </w:drawing>
      </w:r>
    </w:p>
    <w:p>
      <w:pPr>
        <w:widowControl/>
        <w:spacing w:line="0" w:lineRule="atLeast"/>
        <w:jc w:val="center"/>
        <w:rPr>
          <w:rFonts w:ascii="宋体" w:hAnsi="宋体" w:cs="宋体"/>
          <w:kern w:val="0"/>
          <w:sz w:val="24"/>
        </w:rPr>
      </w:pPr>
    </w:p>
    <w:p>
      <w:pPr>
        <w:widowControl/>
        <w:spacing w:line="0" w:lineRule="atLeast"/>
        <w:jc w:val="center"/>
        <w:rPr>
          <w:rFonts w:ascii="宋体" w:hAnsi="宋体" w:cs="宋体"/>
          <w:kern w:val="0"/>
          <w:sz w:val="24"/>
        </w:rPr>
      </w:pPr>
      <w:r>
        <w:rPr>
          <w:rFonts w:hint="eastAsia" w:ascii="宋体" w:hAnsi="宋体" w:cs="宋体"/>
          <w:kern w:val="0"/>
          <w:sz w:val="24"/>
        </w:rPr>
        <w:drawing>
          <wp:inline distT="0" distB="0" distL="0" distR="0">
            <wp:extent cx="2945130" cy="154305"/>
            <wp:effectExtent l="19050" t="0" r="762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noChangeArrowheads="1"/>
                    </pic:cNvPicPr>
                  </pic:nvPicPr>
                  <pic:blipFill>
                    <a:blip r:embed="rId10"/>
                    <a:srcRect t="23810"/>
                    <a:stretch>
                      <a:fillRect/>
                    </a:stretch>
                  </pic:blipFill>
                  <pic:spPr>
                    <a:xfrm>
                      <a:off x="0" y="0"/>
                      <a:ext cx="2945130" cy="154305"/>
                    </a:xfrm>
                    <a:prstGeom prst="rect">
                      <a:avLst/>
                    </a:prstGeom>
                    <a:noFill/>
                    <a:ln w="9525">
                      <a:noFill/>
                      <a:miter lim="800000"/>
                      <a:headEnd/>
                      <a:tailEnd/>
                    </a:ln>
                  </pic:spPr>
                </pic:pic>
              </a:graphicData>
            </a:graphic>
          </wp:inline>
        </w:drawing>
      </w:r>
    </w:p>
    <w:p>
      <w:pPr>
        <w:widowControl/>
        <w:spacing w:line="0" w:lineRule="atLeast"/>
        <w:jc w:val="left"/>
        <w:rPr>
          <w:rFonts w:ascii="宋体" w:hAnsi="宋体" w:cs="宋体"/>
          <w:kern w:val="0"/>
          <w:sz w:val="24"/>
        </w:rPr>
      </w:pPr>
      <w:r>
        <w:rPr>
          <w:rFonts w:ascii="宋体" w:hAnsi="宋体" w:cs="宋体"/>
          <w:kern w:val="0"/>
          <w:sz w:val="24"/>
        </w:rPr>
        <w:drawing>
          <wp:inline distT="0" distB="0" distL="0" distR="0">
            <wp:extent cx="4832985" cy="1924050"/>
            <wp:effectExtent l="1905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srcRect l="781" t="13675"/>
                    <a:stretch>
                      <a:fillRect/>
                    </a:stretch>
                  </pic:blipFill>
                  <pic:spPr>
                    <a:xfrm>
                      <a:off x="0" y="0"/>
                      <a:ext cx="4832985" cy="1924050"/>
                    </a:xfrm>
                    <a:prstGeom prst="rect">
                      <a:avLst/>
                    </a:prstGeom>
                    <a:noFill/>
                    <a:ln w="9525">
                      <a:noFill/>
                      <a:miter lim="800000"/>
                      <a:headEnd/>
                      <a:tailEnd/>
                    </a:ln>
                  </pic:spPr>
                </pic:pic>
              </a:graphicData>
            </a:graphic>
          </wp:inline>
        </w:drawing>
      </w:r>
    </w:p>
    <w:p>
      <w:pPr>
        <w:widowControl/>
        <w:spacing w:line="0" w:lineRule="atLeast"/>
        <w:jc w:val="left"/>
        <w:rPr>
          <w:rFonts w:ascii="宋体" w:hAnsi="宋体" w:cs="宋体"/>
          <w:kern w:val="0"/>
          <w:sz w:val="24"/>
        </w:rPr>
      </w:pPr>
      <w:r>
        <w:rPr>
          <w:rFonts w:ascii="宋体" w:hAnsi="宋体" w:cs="宋体"/>
          <w:kern w:val="0"/>
          <w:sz w:val="24"/>
        </w:rPr>
        <w:drawing>
          <wp:inline distT="0" distB="0" distL="0" distR="0">
            <wp:extent cx="4785995" cy="670941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2"/>
                    <a:srcRect t="424"/>
                    <a:stretch>
                      <a:fillRect/>
                    </a:stretch>
                  </pic:blipFill>
                  <pic:spPr>
                    <a:xfrm>
                      <a:off x="0" y="0"/>
                      <a:ext cx="4785995" cy="6709410"/>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r>
        <w:rPr>
          <w:rFonts w:ascii="宋体" w:hAnsi="宋体" w:cs="宋体"/>
          <w:kern w:val="0"/>
          <w:sz w:val="24"/>
        </w:rPr>
        <w:drawing>
          <wp:inline distT="0" distB="0" distL="0" distR="0">
            <wp:extent cx="4619625" cy="201866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srcRect/>
                    <a:stretch>
                      <a:fillRect/>
                    </a:stretch>
                  </pic:blipFill>
                  <pic:spPr>
                    <a:xfrm>
                      <a:off x="0" y="0"/>
                      <a:ext cx="4619625" cy="2018665"/>
                    </a:xfrm>
                    <a:prstGeom prst="rect">
                      <a:avLst/>
                    </a:prstGeom>
                    <a:noFill/>
                    <a:ln w="9525">
                      <a:noFill/>
                      <a:miter lim="800000"/>
                      <a:headEnd/>
                      <a:tailEnd/>
                    </a:ln>
                  </pic:spPr>
                </pic:pic>
              </a:graphicData>
            </a:graphic>
          </wp:inline>
        </w:drawing>
      </w:r>
    </w:p>
    <w:p>
      <w:pPr>
        <w:adjustRightInd w:val="0"/>
        <w:snapToGrid w:val="0"/>
        <w:spacing w:line="520" w:lineRule="exact"/>
        <w:ind w:firstLine="482" w:firstLineChars="200"/>
        <w:rPr>
          <w:rFonts w:ascii="宋体" w:hAnsi="宋体" w:cs="宋体"/>
          <w:b/>
          <w:sz w:val="24"/>
          <w:szCs w:val="20"/>
        </w:rPr>
      </w:pPr>
      <w:r>
        <w:rPr>
          <w:rFonts w:hint="eastAsia" w:ascii="宋体" w:hAnsi="宋体" w:cs="宋体"/>
          <w:b/>
          <w:sz w:val="24"/>
          <w:szCs w:val="20"/>
        </w:rPr>
        <w:t>C、</w:t>
      </w:r>
      <w:r>
        <w:rPr>
          <w:rFonts w:hint="eastAsia" w:ascii="宋体" w:hAnsi="宋体"/>
          <w:b/>
          <w:sz w:val="24"/>
        </w:rPr>
        <w:t>《普通中小学校建设标准（征求意见稿）》（教发司[2015]117号2015年7月27日</w:t>
      </w:r>
      <w:r>
        <w:rPr>
          <w:rFonts w:hint="eastAsia" w:ascii="宋体" w:hAnsi="宋体"/>
          <w:sz w:val="24"/>
        </w:rPr>
        <w:t>）</w:t>
      </w:r>
    </w:p>
    <w:p>
      <w:pPr>
        <w:adjustRightInd w:val="0"/>
        <w:snapToGrid w:val="0"/>
        <w:spacing w:line="520" w:lineRule="exact"/>
        <w:ind w:firstLine="480" w:firstLineChars="200"/>
        <w:rPr>
          <w:rFonts w:ascii="宋体" w:hAnsi="宋体"/>
          <w:b/>
          <w:sz w:val="24"/>
        </w:rPr>
      </w:pPr>
      <w:r>
        <w:rPr>
          <w:rFonts w:hint="eastAsia" w:ascii="宋体" w:hAnsi="宋体"/>
          <w:sz w:val="24"/>
        </w:rPr>
        <w:t>根据《普通中小学校建设标准（征求意见稿）》（教发司[2015]117号2015年7月27日），36个班、1620人的标准完全小学校舍建筑包括必备校舍和选配校舍。其中必备校舍包括：教学及辅助用房（包括教室、专用教室、公共教学用房及相应的辅助用房）、行政管理及教研用房（包括行政管理用房、教研室、网络控制室、安防监控室、广播社团活动室、卫生保健室、会议接待室等）、后勤及生活用房（包括学生厨房（含教工）及教工餐厅、总务用房、传达值宿室、配电房、厕所等）。</w:t>
      </w:r>
      <w:r>
        <w:rPr>
          <w:rFonts w:hint="eastAsia" w:ascii="宋体" w:hAnsi="宋体"/>
          <w:b/>
          <w:sz w:val="24"/>
        </w:rPr>
        <w:t>必配校舍建筑面积为13855平方米</w:t>
      </w:r>
      <w:r>
        <w:rPr>
          <w:rFonts w:hint="eastAsia" w:ascii="宋体" w:hAnsi="宋体"/>
          <w:sz w:val="24"/>
        </w:rPr>
        <w:t>。具体标准规定如下：</w:t>
      </w:r>
    </w:p>
    <w:p>
      <w:pPr>
        <w:tabs>
          <w:tab w:val="left" w:pos="8364"/>
        </w:tabs>
        <w:spacing w:line="300" w:lineRule="auto"/>
        <w:ind w:firstLine="1807" w:firstLineChars="750"/>
        <w:rPr>
          <w:rFonts w:ascii="宋体" w:hAnsi="宋体"/>
          <w:b/>
          <w:sz w:val="24"/>
        </w:rPr>
      </w:pPr>
      <w:r>
        <w:rPr>
          <w:rFonts w:hint="eastAsia" w:ascii="宋体" w:hAnsi="宋体"/>
          <w:b/>
          <w:sz w:val="24"/>
        </w:rPr>
        <w:t>完全小学必配校舍用房配置标准及使用面积      单位：㎡</w:t>
      </w:r>
    </w:p>
    <w:tbl>
      <w:tblPr>
        <w:tblStyle w:val="19"/>
        <w:tblpPr w:leftFromText="180" w:rightFromText="180" w:vertAnchor="text" w:tblpXSpec="center" w:tblpY="1"/>
        <w:tblOverlap w:val="never"/>
        <w:tblW w:w="10260" w:type="dxa"/>
        <w:jc w:val="center"/>
        <w:tblInd w:w="0" w:type="dxa"/>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564"/>
        <w:gridCol w:w="570"/>
        <w:gridCol w:w="709"/>
        <w:gridCol w:w="567"/>
        <w:gridCol w:w="709"/>
        <w:gridCol w:w="567"/>
        <w:gridCol w:w="709"/>
        <w:gridCol w:w="567"/>
        <w:gridCol w:w="708"/>
        <w:gridCol w:w="567"/>
        <w:gridCol w:w="709"/>
        <w:gridCol w:w="567"/>
        <w:gridCol w:w="654"/>
      </w:tblGrid>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64" w:hRule="atLeast"/>
          <w:tblHeader/>
          <w:jc w:val="center"/>
        </w:trPr>
        <w:tc>
          <w:tcPr>
            <w:tcW w:w="2093"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用房名称</w:t>
            </w:r>
          </w:p>
        </w:tc>
        <w:tc>
          <w:tcPr>
            <w:tcW w:w="564"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每间使用面积</w:t>
            </w:r>
          </w:p>
        </w:tc>
        <w:tc>
          <w:tcPr>
            <w:tcW w:w="7603" w:type="dxa"/>
            <w:gridSpan w:val="1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办学规模与使用面积</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99" w:hRule="atLeast"/>
          <w:tblHeader/>
          <w:jc w:val="center"/>
        </w:trPr>
        <w:tc>
          <w:tcPr>
            <w:tcW w:w="20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p>
        </w:tc>
        <w:tc>
          <w:tcPr>
            <w:tcW w:w="5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p>
        </w:tc>
        <w:tc>
          <w:tcPr>
            <w:tcW w:w="12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6班</w:t>
            </w:r>
          </w:p>
          <w:p>
            <w:pPr>
              <w:jc w:val="center"/>
              <w:rPr>
                <w:rFonts w:ascii="宋体" w:hAnsi="宋体"/>
                <w:szCs w:val="21"/>
              </w:rPr>
            </w:pPr>
            <w:r>
              <w:rPr>
                <w:rFonts w:hint="eastAsia" w:ascii="宋体" w:hAnsi="宋体"/>
                <w:szCs w:val="21"/>
              </w:rPr>
              <w:t>270人</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w:t>
            </w:r>
            <w:r>
              <w:rPr>
                <w:rFonts w:hint="eastAsia" w:ascii="宋体" w:hAnsi="宋体"/>
                <w:szCs w:val="21"/>
              </w:rPr>
              <w:t>班</w:t>
            </w:r>
          </w:p>
          <w:p>
            <w:pPr>
              <w:jc w:val="center"/>
              <w:rPr>
                <w:rFonts w:ascii="宋体" w:hAnsi="宋体"/>
                <w:szCs w:val="21"/>
              </w:rPr>
            </w:pPr>
            <w:r>
              <w:rPr>
                <w:rFonts w:ascii="宋体" w:hAnsi="宋体"/>
                <w:szCs w:val="21"/>
              </w:rPr>
              <w:t>540</w:t>
            </w:r>
            <w:r>
              <w:rPr>
                <w:rFonts w:hint="eastAsia" w:ascii="宋体" w:hAnsi="宋体"/>
                <w:szCs w:val="21"/>
              </w:rPr>
              <w:t>人</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w:t>
            </w:r>
            <w:r>
              <w:rPr>
                <w:rFonts w:hint="eastAsia" w:ascii="宋体" w:hAnsi="宋体"/>
                <w:szCs w:val="21"/>
              </w:rPr>
              <w:t>班</w:t>
            </w:r>
          </w:p>
          <w:p>
            <w:pPr>
              <w:jc w:val="center"/>
              <w:rPr>
                <w:rFonts w:ascii="宋体" w:hAnsi="宋体"/>
                <w:szCs w:val="21"/>
              </w:rPr>
            </w:pPr>
            <w:r>
              <w:rPr>
                <w:rFonts w:ascii="宋体" w:hAnsi="宋体"/>
                <w:szCs w:val="21"/>
              </w:rPr>
              <w:t>810</w:t>
            </w:r>
            <w:r>
              <w:rPr>
                <w:rFonts w:hint="eastAsia" w:ascii="宋体" w:hAnsi="宋体"/>
                <w:szCs w:val="21"/>
              </w:rPr>
              <w:t>人</w:t>
            </w:r>
          </w:p>
        </w:tc>
        <w:tc>
          <w:tcPr>
            <w:tcW w:w="127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r>
              <w:rPr>
                <w:rFonts w:hint="eastAsia" w:ascii="宋体" w:hAnsi="宋体"/>
                <w:szCs w:val="21"/>
              </w:rPr>
              <w:t>班</w:t>
            </w:r>
          </w:p>
          <w:p>
            <w:pPr>
              <w:jc w:val="center"/>
              <w:rPr>
                <w:rFonts w:ascii="宋体" w:hAnsi="宋体"/>
                <w:szCs w:val="21"/>
              </w:rPr>
            </w:pPr>
            <w:r>
              <w:rPr>
                <w:rFonts w:ascii="宋体" w:hAnsi="宋体"/>
                <w:szCs w:val="21"/>
              </w:rPr>
              <w:t>1080</w:t>
            </w:r>
            <w:r>
              <w:rPr>
                <w:rFonts w:hint="eastAsia" w:ascii="宋体" w:hAnsi="宋体"/>
                <w:szCs w:val="21"/>
              </w:rPr>
              <w:t>人</w:t>
            </w: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r>
              <w:rPr>
                <w:rFonts w:hint="eastAsia" w:ascii="宋体" w:hAnsi="宋体"/>
                <w:szCs w:val="21"/>
              </w:rPr>
              <w:t>班</w:t>
            </w:r>
          </w:p>
          <w:p>
            <w:pPr>
              <w:jc w:val="center"/>
              <w:rPr>
                <w:rFonts w:ascii="宋体" w:hAnsi="宋体"/>
                <w:szCs w:val="21"/>
              </w:rPr>
            </w:pPr>
            <w:r>
              <w:rPr>
                <w:rFonts w:ascii="宋体" w:hAnsi="宋体"/>
                <w:szCs w:val="21"/>
              </w:rPr>
              <w:t>1350</w:t>
            </w:r>
            <w:r>
              <w:rPr>
                <w:rFonts w:hint="eastAsia" w:ascii="宋体" w:hAnsi="宋体"/>
                <w:szCs w:val="21"/>
              </w:rPr>
              <w:t>人</w:t>
            </w:r>
          </w:p>
        </w:tc>
        <w:tc>
          <w:tcPr>
            <w:tcW w:w="122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36</w:t>
            </w:r>
            <w:r>
              <w:rPr>
                <w:rFonts w:hint="eastAsia" w:ascii="宋体" w:hAnsi="宋体"/>
                <w:szCs w:val="21"/>
              </w:rPr>
              <w:t>班</w:t>
            </w:r>
          </w:p>
          <w:p>
            <w:pPr>
              <w:jc w:val="center"/>
              <w:rPr>
                <w:rFonts w:ascii="宋体" w:hAnsi="宋体"/>
                <w:szCs w:val="21"/>
              </w:rPr>
            </w:pPr>
            <w:r>
              <w:rPr>
                <w:rFonts w:ascii="宋体" w:hAnsi="宋体"/>
                <w:szCs w:val="21"/>
              </w:rPr>
              <w:t>1620</w:t>
            </w:r>
            <w:r>
              <w:rPr>
                <w:rFonts w:hint="eastAsia" w:ascii="宋体" w:hAnsi="宋体"/>
                <w:szCs w:val="21"/>
              </w:rPr>
              <w:t>人</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07" w:hRule="atLeast"/>
          <w:tblHeader/>
          <w:jc w:val="center"/>
        </w:trPr>
        <w:tc>
          <w:tcPr>
            <w:tcW w:w="20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p>
        </w:tc>
        <w:tc>
          <w:tcPr>
            <w:tcW w:w="5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szCs w:val="21"/>
              </w:rPr>
            </w:pPr>
          </w:p>
        </w:tc>
        <w:tc>
          <w:tcPr>
            <w:tcW w:w="57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间</w:t>
            </w:r>
          </w:p>
          <w:p>
            <w:pPr>
              <w:rPr>
                <w:rFonts w:ascii="宋体" w:hAnsi="宋体"/>
                <w:szCs w:val="21"/>
              </w:rPr>
            </w:pPr>
            <w:r>
              <w:rPr>
                <w:rFonts w:hint="eastAsia" w:ascii="宋体" w:hAnsi="宋体"/>
                <w:szCs w:val="21"/>
              </w:rPr>
              <w:t>数</w:t>
            </w:r>
          </w:p>
        </w:tc>
        <w:tc>
          <w:tcPr>
            <w:tcW w:w="70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面积小计</w:t>
            </w:r>
          </w:p>
        </w:tc>
        <w:tc>
          <w:tcPr>
            <w:tcW w:w="567"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间数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面积</w:t>
            </w:r>
          </w:p>
          <w:p>
            <w:pPr>
              <w:jc w:val="center"/>
              <w:rPr>
                <w:rFonts w:ascii="宋体" w:hAnsi="宋体"/>
                <w:szCs w:val="21"/>
              </w:rPr>
            </w:pPr>
            <w:r>
              <w:rPr>
                <w:rFonts w:hint="eastAsia" w:ascii="宋体" w:hAnsi="宋体"/>
                <w:szCs w:val="21"/>
              </w:rPr>
              <w:t>小计</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间</w:t>
            </w:r>
          </w:p>
          <w:p>
            <w:pPr>
              <w:jc w:val="center"/>
              <w:rPr>
                <w:rFonts w:ascii="宋体" w:hAnsi="宋体"/>
                <w:szCs w:val="21"/>
              </w:rPr>
            </w:pPr>
            <w:r>
              <w:rPr>
                <w:rFonts w:hint="eastAsia" w:ascii="宋体" w:hAnsi="宋体"/>
                <w:szCs w:val="21"/>
              </w:rPr>
              <w:t>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面积</w:t>
            </w:r>
          </w:p>
          <w:p>
            <w:pPr>
              <w:jc w:val="center"/>
              <w:rPr>
                <w:rFonts w:ascii="宋体" w:hAnsi="宋体"/>
                <w:szCs w:val="21"/>
              </w:rPr>
            </w:pPr>
            <w:r>
              <w:rPr>
                <w:rFonts w:hint="eastAsia" w:ascii="宋体" w:hAnsi="宋体"/>
                <w:szCs w:val="21"/>
              </w:rPr>
              <w:t>小计</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间</w:t>
            </w:r>
          </w:p>
          <w:p>
            <w:pPr>
              <w:jc w:val="center"/>
              <w:rPr>
                <w:rFonts w:ascii="宋体" w:hAnsi="宋体"/>
                <w:szCs w:val="21"/>
              </w:rPr>
            </w:pPr>
            <w:r>
              <w:rPr>
                <w:rFonts w:hint="eastAsia" w:ascii="宋体" w:hAnsi="宋体"/>
                <w:szCs w:val="21"/>
              </w:rPr>
              <w:t>数</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面积</w:t>
            </w:r>
          </w:p>
          <w:p>
            <w:pPr>
              <w:jc w:val="center"/>
              <w:rPr>
                <w:rFonts w:ascii="宋体" w:hAnsi="宋体"/>
                <w:szCs w:val="21"/>
              </w:rPr>
            </w:pPr>
            <w:r>
              <w:rPr>
                <w:rFonts w:hint="eastAsia" w:ascii="宋体" w:hAnsi="宋体"/>
                <w:szCs w:val="21"/>
              </w:rPr>
              <w:t>小计</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间</w:t>
            </w:r>
          </w:p>
          <w:p>
            <w:pPr>
              <w:jc w:val="center"/>
              <w:rPr>
                <w:rFonts w:ascii="宋体" w:hAnsi="宋体"/>
                <w:szCs w:val="21"/>
              </w:rPr>
            </w:pPr>
            <w:r>
              <w:rPr>
                <w:rFonts w:hint="eastAsia" w:ascii="宋体" w:hAnsi="宋体"/>
                <w:szCs w:val="21"/>
              </w:rPr>
              <w:t>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面积</w:t>
            </w:r>
          </w:p>
          <w:p>
            <w:pPr>
              <w:jc w:val="center"/>
              <w:rPr>
                <w:rFonts w:ascii="宋体" w:hAnsi="宋体"/>
                <w:szCs w:val="21"/>
              </w:rPr>
            </w:pPr>
            <w:r>
              <w:rPr>
                <w:rFonts w:hint="eastAsia" w:ascii="宋体" w:hAnsi="宋体"/>
                <w:szCs w:val="21"/>
              </w:rPr>
              <w:t>小计</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间</w:t>
            </w:r>
          </w:p>
          <w:p>
            <w:pPr>
              <w:jc w:val="center"/>
              <w:rPr>
                <w:rFonts w:ascii="宋体" w:hAnsi="宋体"/>
                <w:szCs w:val="21"/>
              </w:rPr>
            </w:pPr>
            <w:r>
              <w:rPr>
                <w:rFonts w:hint="eastAsia" w:ascii="宋体" w:hAnsi="宋体"/>
                <w:szCs w:val="21"/>
              </w:rPr>
              <w:t>数</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面积小计</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b/>
                <w:szCs w:val="21"/>
              </w:rPr>
            </w:pPr>
            <w:r>
              <w:rPr>
                <w:rFonts w:hint="eastAsia" w:ascii="宋体" w:hAnsi="宋体"/>
                <w:b/>
                <w:szCs w:val="21"/>
              </w:rPr>
              <w:t>一、教学及辅助用房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1270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2682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3652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4705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5633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6516</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b/>
                <w:szCs w:val="21"/>
              </w:rPr>
            </w:pPr>
            <w:r>
              <w:rPr>
                <w:rFonts w:ascii="宋体" w:hAnsi="宋体"/>
                <w:b/>
                <w:szCs w:val="21"/>
              </w:rPr>
              <w:t>1</w:t>
            </w:r>
            <w:r>
              <w:rPr>
                <w:rFonts w:hint="eastAsia" w:ascii="宋体" w:hAnsi="宋体"/>
                <w:b/>
                <w:szCs w:val="21"/>
              </w:rPr>
              <w:t>、教室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6</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390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780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1235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26</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1690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2080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39</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2535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普通教室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6</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390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780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1170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1560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1950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36</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2340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机动教室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65</w:t>
            </w: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130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ind w:firstLine="105" w:firstLineChars="50"/>
              <w:jc w:val="center"/>
              <w:rPr>
                <w:rFonts w:ascii="宋体" w:hAnsi="宋体"/>
                <w:szCs w:val="21"/>
              </w:rPr>
            </w:pPr>
            <w:r>
              <w:rPr>
                <w:rFonts w:ascii="宋体" w:hAnsi="宋体"/>
                <w:szCs w:val="21"/>
              </w:rPr>
              <w:t>130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ind w:right="360"/>
              <w:rPr>
                <w:rFonts w:ascii="宋体" w:hAnsi="宋体"/>
                <w:b/>
                <w:szCs w:val="21"/>
              </w:rPr>
            </w:pPr>
            <w:r>
              <w:rPr>
                <w:rFonts w:ascii="宋体" w:hAnsi="宋体"/>
                <w:b/>
                <w:szCs w:val="21"/>
              </w:rPr>
              <w:t>2</w:t>
            </w:r>
            <w:r>
              <w:rPr>
                <w:rFonts w:hint="eastAsia" w:ascii="宋体" w:hAnsi="宋体"/>
                <w:b/>
                <w:szCs w:val="21"/>
              </w:rPr>
              <w:t>、专用教室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595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833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928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1332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1546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1855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科学教室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285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科学教室辅房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音乐教室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音乐教室辅房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美术教室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美术教室辅房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书法教室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计算机教室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285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计算机教室辅房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语言教室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语言教室辅房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劳动教室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190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劳动教室辅房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b/>
                <w:szCs w:val="21"/>
              </w:rPr>
            </w:pPr>
            <w:r>
              <w:rPr>
                <w:rFonts w:ascii="宋体" w:hAnsi="宋体"/>
                <w:b/>
                <w:szCs w:val="21"/>
              </w:rPr>
              <w:t>3</w:t>
            </w:r>
            <w:r>
              <w:rPr>
                <w:rFonts w:hint="eastAsia" w:ascii="宋体" w:hAnsi="宋体"/>
                <w:b/>
                <w:szCs w:val="21"/>
              </w:rPr>
              <w:t>、公共教学用房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285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1069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1489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1683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2007</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2126</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多功能教室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135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170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205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多功能教室辅房</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r>
              <w:rPr>
                <w:rFonts w:hint="eastAsia" w:ascii="宋体" w:hAnsi="宋体"/>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合班教室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图书室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78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219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265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315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学生活动室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40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144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心理咨询室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德育展示室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体质测试室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42</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室内体育用房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610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899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899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1118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1118</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体育器材室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r>
              <w:rPr>
                <w:rFonts w:hint="eastAsia" w:ascii="宋体" w:hAnsi="宋体"/>
                <w:kern w:val="0"/>
                <w:szCs w:val="21"/>
              </w:rPr>
              <w:t>1</w:t>
            </w: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b/>
                <w:szCs w:val="21"/>
              </w:rPr>
            </w:pPr>
            <w:r>
              <w:rPr>
                <w:rFonts w:hint="eastAsia" w:ascii="宋体" w:hAnsi="宋体"/>
                <w:b/>
                <w:szCs w:val="21"/>
              </w:rPr>
              <w:t>二、行政管理及教研用房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159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315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383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481</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556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643</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行政管理用房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84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98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112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126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140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教研室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45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110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160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215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270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325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网络控制室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安防监控室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广播社团活动室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15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卫生保健室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w:t>
            </w: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15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会议接待室</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60</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spacing w:line="276" w:lineRule="auto"/>
              <w:rPr>
                <w:rFonts w:ascii="宋体" w:hAnsi="宋体"/>
                <w:b/>
                <w:szCs w:val="21"/>
              </w:rPr>
            </w:pPr>
            <w:r>
              <w:rPr>
                <w:rFonts w:hint="eastAsia" w:ascii="宋体" w:hAnsi="宋体"/>
                <w:b/>
                <w:szCs w:val="21"/>
              </w:rPr>
              <w:t>三、后勤及生活用房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246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宋体" w:hAnsi="宋体"/>
                <w:szCs w:val="21"/>
              </w:rPr>
            </w:pPr>
            <w:r>
              <w:rPr>
                <w:rFonts w:hint="eastAsia" w:ascii="宋体" w:hAnsi="宋体"/>
                <w:szCs w:val="21"/>
              </w:rPr>
              <w:t>422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宋体" w:hAnsi="宋体"/>
                <w:szCs w:val="21"/>
              </w:rPr>
            </w:pPr>
            <w:r>
              <w:rPr>
                <w:rFonts w:hint="eastAsia" w:ascii="宋体" w:hAnsi="宋体"/>
                <w:szCs w:val="21"/>
              </w:rPr>
              <w:t>601</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宋体" w:hAnsi="宋体"/>
                <w:szCs w:val="21"/>
              </w:rPr>
            </w:pPr>
            <w:r>
              <w:rPr>
                <w:rFonts w:hint="eastAsia" w:ascii="宋体" w:hAnsi="宋体"/>
                <w:szCs w:val="21"/>
              </w:rPr>
              <w:t>792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宋体" w:hAnsi="宋体"/>
                <w:szCs w:val="21"/>
              </w:rPr>
            </w:pPr>
            <w:r>
              <w:rPr>
                <w:rFonts w:hint="eastAsia" w:ascii="宋体" w:hAnsi="宋体"/>
                <w:szCs w:val="21"/>
              </w:rPr>
              <w:t>973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宋体" w:hAnsi="宋体"/>
                <w:szCs w:val="21"/>
              </w:rPr>
            </w:pPr>
            <w:r>
              <w:rPr>
                <w:rFonts w:hint="eastAsia" w:ascii="宋体" w:hAnsi="宋体"/>
                <w:szCs w:val="21"/>
              </w:rPr>
              <w:t>1154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厨房及教工餐厅</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121</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202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296</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402</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503</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604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总务用房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30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35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45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50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55</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传达值宿室</w:t>
            </w:r>
          </w:p>
        </w:tc>
        <w:tc>
          <w:tcPr>
            <w:tcW w:w="56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20</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c>
          <w:tcPr>
            <w:tcW w:w="56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配电房</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18</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24</w:t>
            </w:r>
          </w:p>
        </w:tc>
      </w:tr>
      <w:tr>
        <w:tblPrEx>
          <w:tblBorders>
            <w:top w:val="none" w:color="auto" w:sz="0"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09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r>
              <w:rPr>
                <w:rFonts w:hint="eastAsia" w:ascii="宋体" w:hAnsi="宋体"/>
                <w:szCs w:val="21"/>
              </w:rPr>
              <w:t>厕所</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570"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kern w:val="0"/>
                <w:szCs w:val="21"/>
              </w:rPr>
            </w:pPr>
          </w:p>
        </w:tc>
        <w:tc>
          <w:tcPr>
            <w:tcW w:w="709" w:type="dxa"/>
            <w:tcBorders>
              <w:top w:val="single" w:color="000000" w:sz="4" w:space="0"/>
              <w:left w:val="single" w:color="auto" w:sz="4" w:space="0"/>
              <w:bottom w:val="single" w:color="000000" w:sz="4" w:space="0"/>
              <w:right w:val="single" w:color="000000" w:sz="4" w:space="0"/>
            </w:tcBorders>
            <w:vAlign w:val="center"/>
          </w:tcPr>
          <w:p>
            <w:pPr>
              <w:widowControl/>
              <w:jc w:val="center"/>
              <w:rPr>
                <w:rFonts w:ascii="宋体" w:hAnsi="宋体"/>
                <w:kern w:val="0"/>
                <w:szCs w:val="21"/>
              </w:rPr>
            </w:pPr>
            <w:r>
              <w:rPr>
                <w:rFonts w:hint="eastAsia" w:ascii="宋体" w:hAnsi="宋体"/>
                <w:kern w:val="0"/>
                <w:szCs w:val="21"/>
              </w:rPr>
              <w:t>74.5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150</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225</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299</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374</w:t>
            </w:r>
          </w:p>
        </w:tc>
        <w:tc>
          <w:tcPr>
            <w:tcW w:w="5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Cs w:val="21"/>
              </w:rPr>
            </w:pPr>
          </w:p>
        </w:tc>
        <w:tc>
          <w:tcPr>
            <w:tcW w:w="65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449</w:t>
            </w:r>
          </w:p>
        </w:tc>
      </w:tr>
    </w:tbl>
    <w:p>
      <w:pPr>
        <w:tabs>
          <w:tab w:val="left" w:pos="8364"/>
        </w:tabs>
        <w:ind w:firstLine="1575" w:firstLineChars="750"/>
        <w:rPr>
          <w:rFonts w:ascii="宋体" w:hAnsi="宋体"/>
          <w:szCs w:val="21"/>
        </w:rPr>
      </w:pPr>
      <w:r>
        <w:rPr>
          <w:rFonts w:hint="eastAsia" w:ascii="宋体" w:hAnsi="宋体"/>
          <w:szCs w:val="21"/>
        </w:rPr>
        <w:t>完全小学必配校舍用房生均建筑面积指标         单位：㎡</w:t>
      </w:r>
    </w:p>
    <w:tbl>
      <w:tblPr>
        <w:tblStyle w:val="19"/>
        <w:tblpPr w:leftFromText="180" w:rightFromText="180" w:vertAnchor="text" w:tblpXSpec="center" w:tblpY="1"/>
        <w:tblOverlap w:val="never"/>
        <w:tblW w:w="10065" w:type="dxa"/>
        <w:jc w:val="center"/>
        <w:tblInd w:w="0" w:type="dxa"/>
        <w:tblLayout w:type="fixed"/>
        <w:tblCellMar>
          <w:top w:w="0" w:type="dxa"/>
          <w:left w:w="108" w:type="dxa"/>
          <w:bottom w:w="0" w:type="dxa"/>
          <w:right w:w="108" w:type="dxa"/>
        </w:tblCellMar>
      </w:tblPr>
      <w:tblGrid>
        <w:gridCol w:w="1702"/>
        <w:gridCol w:w="1275"/>
        <w:gridCol w:w="1244"/>
        <w:gridCol w:w="1276"/>
        <w:gridCol w:w="1276"/>
        <w:gridCol w:w="1275"/>
        <w:gridCol w:w="1025"/>
        <w:gridCol w:w="992"/>
      </w:tblGrid>
      <w:tr>
        <w:tblPrEx>
          <w:tblLayout w:type="fixed"/>
          <w:tblCellMar>
            <w:top w:w="0" w:type="dxa"/>
            <w:left w:w="108" w:type="dxa"/>
            <w:bottom w:w="0" w:type="dxa"/>
            <w:right w:w="108" w:type="dxa"/>
          </w:tblCellMar>
        </w:tblPrEx>
        <w:trPr>
          <w:trHeight w:val="270" w:hRule="atLeast"/>
          <w:jc w:val="center"/>
        </w:trPr>
        <w:tc>
          <w:tcPr>
            <w:tcW w:w="170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面积名称</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使用面</w:t>
            </w:r>
          </w:p>
          <w:p>
            <w:pPr>
              <w:widowControl/>
              <w:jc w:val="center"/>
              <w:rPr>
                <w:rFonts w:ascii="宋体" w:hAnsi="宋体" w:cs="宋体"/>
                <w:kern w:val="0"/>
                <w:szCs w:val="21"/>
              </w:rPr>
            </w:pPr>
            <w:r>
              <w:rPr>
                <w:rFonts w:hint="eastAsia" w:ascii="宋体" w:hAnsi="宋体" w:cs="宋体"/>
                <w:kern w:val="0"/>
                <w:szCs w:val="21"/>
              </w:rPr>
              <w:t>积系数（K）</w:t>
            </w:r>
          </w:p>
        </w:tc>
        <w:tc>
          <w:tcPr>
            <w:tcW w:w="7088"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办学规模与建筑面积指标</w:t>
            </w:r>
          </w:p>
        </w:tc>
      </w:tr>
      <w:tr>
        <w:tblPrEx>
          <w:tblLayout w:type="fixed"/>
          <w:tblCellMar>
            <w:top w:w="0" w:type="dxa"/>
            <w:left w:w="108" w:type="dxa"/>
            <w:bottom w:w="0" w:type="dxa"/>
            <w:right w:w="108" w:type="dxa"/>
          </w:tblCellMar>
        </w:tblPrEx>
        <w:trPr>
          <w:trHeight w:val="270" w:hRule="atLeast"/>
          <w:jc w:val="center"/>
        </w:trPr>
        <w:tc>
          <w:tcPr>
            <w:tcW w:w="17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6班</w:t>
            </w:r>
          </w:p>
          <w:p>
            <w:pPr>
              <w:widowControl/>
              <w:jc w:val="center"/>
              <w:rPr>
                <w:rFonts w:ascii="宋体" w:hAnsi="宋体" w:cs="宋体"/>
                <w:kern w:val="0"/>
                <w:szCs w:val="21"/>
              </w:rPr>
            </w:pPr>
            <w:r>
              <w:rPr>
                <w:rFonts w:hint="eastAsia" w:ascii="宋体" w:hAnsi="宋体" w:cs="宋体"/>
                <w:kern w:val="0"/>
                <w:szCs w:val="21"/>
              </w:rPr>
              <w:t>270人</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12班</w:t>
            </w:r>
          </w:p>
          <w:p>
            <w:pPr>
              <w:widowControl/>
              <w:jc w:val="center"/>
              <w:rPr>
                <w:rFonts w:ascii="宋体" w:hAnsi="宋体" w:cs="宋体"/>
                <w:kern w:val="0"/>
                <w:szCs w:val="21"/>
              </w:rPr>
            </w:pPr>
            <w:r>
              <w:rPr>
                <w:rFonts w:hint="eastAsia" w:ascii="宋体" w:hAnsi="宋体" w:cs="宋体"/>
                <w:kern w:val="0"/>
                <w:szCs w:val="21"/>
              </w:rPr>
              <w:t>540人</w:t>
            </w:r>
          </w:p>
        </w:tc>
        <w:tc>
          <w:tcPr>
            <w:tcW w:w="1276"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18班</w:t>
            </w:r>
          </w:p>
          <w:p>
            <w:pPr>
              <w:widowControl/>
              <w:jc w:val="center"/>
              <w:rPr>
                <w:rFonts w:ascii="宋体" w:hAnsi="宋体" w:cs="宋体"/>
                <w:kern w:val="0"/>
                <w:szCs w:val="21"/>
              </w:rPr>
            </w:pPr>
            <w:r>
              <w:rPr>
                <w:rFonts w:hint="eastAsia" w:ascii="宋体" w:hAnsi="宋体" w:cs="宋体"/>
                <w:kern w:val="0"/>
                <w:szCs w:val="21"/>
              </w:rPr>
              <w:t>810人</w:t>
            </w:r>
          </w:p>
        </w:tc>
        <w:tc>
          <w:tcPr>
            <w:tcW w:w="127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24班</w:t>
            </w:r>
          </w:p>
          <w:p>
            <w:pPr>
              <w:widowControl/>
              <w:jc w:val="center"/>
              <w:rPr>
                <w:rFonts w:ascii="宋体" w:hAnsi="宋体" w:cs="宋体"/>
                <w:kern w:val="0"/>
                <w:szCs w:val="21"/>
              </w:rPr>
            </w:pPr>
            <w:r>
              <w:rPr>
                <w:rFonts w:hint="eastAsia" w:ascii="宋体" w:hAnsi="宋体" w:cs="宋体"/>
                <w:kern w:val="0"/>
                <w:szCs w:val="21"/>
              </w:rPr>
              <w:t>1080人</w:t>
            </w:r>
          </w:p>
        </w:tc>
        <w:tc>
          <w:tcPr>
            <w:tcW w:w="1025"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30班 1350人</w:t>
            </w: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36班</w:t>
            </w:r>
          </w:p>
          <w:p>
            <w:pPr>
              <w:widowControl/>
              <w:jc w:val="center"/>
              <w:rPr>
                <w:rFonts w:ascii="宋体" w:hAnsi="宋体" w:cs="宋体"/>
                <w:kern w:val="0"/>
                <w:szCs w:val="21"/>
              </w:rPr>
            </w:pPr>
            <w:r>
              <w:rPr>
                <w:rFonts w:hint="eastAsia" w:ascii="宋体" w:hAnsi="宋体" w:cs="宋体"/>
                <w:kern w:val="0"/>
                <w:szCs w:val="21"/>
              </w:rPr>
              <w:t>1620人</w:t>
            </w:r>
          </w:p>
        </w:tc>
      </w:tr>
      <w:tr>
        <w:tblPrEx>
          <w:tblLayout w:type="fixed"/>
          <w:tblCellMar>
            <w:top w:w="0" w:type="dxa"/>
            <w:left w:w="108" w:type="dxa"/>
            <w:bottom w:w="0" w:type="dxa"/>
            <w:right w:w="108" w:type="dxa"/>
          </w:tblCellMar>
        </w:tblPrEx>
        <w:trPr>
          <w:trHeight w:val="270" w:hRule="atLeast"/>
          <w:jc w:val="center"/>
        </w:trPr>
        <w:tc>
          <w:tcPr>
            <w:tcW w:w="17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使用面积</w:t>
            </w:r>
          </w:p>
        </w:tc>
        <w:tc>
          <w:tcPr>
            <w:tcW w:w="1275"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0.6</w:t>
            </w:r>
          </w:p>
        </w:tc>
        <w:tc>
          <w:tcPr>
            <w:tcW w:w="12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1675</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3419</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4636</w:t>
            </w:r>
          </w:p>
        </w:tc>
        <w:tc>
          <w:tcPr>
            <w:tcW w:w="127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5978</w:t>
            </w:r>
          </w:p>
        </w:tc>
        <w:tc>
          <w:tcPr>
            <w:tcW w:w="102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7162</w:t>
            </w:r>
          </w:p>
        </w:tc>
        <w:tc>
          <w:tcPr>
            <w:tcW w:w="992"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8313</w:t>
            </w:r>
          </w:p>
        </w:tc>
      </w:tr>
      <w:tr>
        <w:tblPrEx>
          <w:tblLayout w:type="fixed"/>
          <w:tblCellMar>
            <w:top w:w="0" w:type="dxa"/>
            <w:left w:w="108" w:type="dxa"/>
            <w:bottom w:w="0" w:type="dxa"/>
            <w:right w:w="108" w:type="dxa"/>
          </w:tblCellMar>
        </w:tblPrEx>
        <w:trPr>
          <w:trHeight w:val="291" w:hRule="atLeast"/>
          <w:jc w:val="center"/>
        </w:trPr>
        <w:tc>
          <w:tcPr>
            <w:tcW w:w="17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建筑面积</w:t>
            </w:r>
          </w:p>
        </w:tc>
        <w:tc>
          <w:tcPr>
            <w:tcW w:w="1275" w:type="dxa"/>
            <w:vMerge w:val="continue"/>
            <w:tcBorders>
              <w:left w:val="single" w:color="auto" w:sz="4" w:space="0"/>
              <w:bottom w:val="single" w:color="auto" w:sz="4" w:space="0"/>
              <w:right w:val="single" w:color="auto" w:sz="4" w:space="0"/>
            </w:tcBorders>
            <w:shd w:val="clear" w:color="auto" w:fill="auto"/>
            <w:vAlign w:val="center"/>
          </w:tcPr>
          <w:p>
            <w:pPr>
              <w:jc w:val="left"/>
              <w:rPr>
                <w:rFonts w:ascii="宋体" w:hAnsi="宋体" w:cs="宋体"/>
                <w:kern w:val="0"/>
                <w:szCs w:val="21"/>
              </w:rPr>
            </w:pPr>
          </w:p>
        </w:tc>
        <w:tc>
          <w:tcPr>
            <w:tcW w:w="12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2792</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5698</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7727</w:t>
            </w:r>
          </w:p>
        </w:tc>
        <w:tc>
          <w:tcPr>
            <w:tcW w:w="127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9963</w:t>
            </w:r>
          </w:p>
        </w:tc>
        <w:tc>
          <w:tcPr>
            <w:tcW w:w="102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11937</w:t>
            </w:r>
          </w:p>
        </w:tc>
        <w:tc>
          <w:tcPr>
            <w:tcW w:w="992"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13855</w:t>
            </w:r>
          </w:p>
        </w:tc>
      </w:tr>
      <w:tr>
        <w:tblPrEx>
          <w:tblLayout w:type="fixed"/>
          <w:tblCellMar>
            <w:top w:w="0" w:type="dxa"/>
            <w:left w:w="108" w:type="dxa"/>
            <w:bottom w:w="0" w:type="dxa"/>
            <w:right w:w="108" w:type="dxa"/>
          </w:tblCellMar>
        </w:tblPrEx>
        <w:trPr>
          <w:trHeight w:val="270" w:hRule="atLeast"/>
          <w:jc w:val="center"/>
        </w:trPr>
        <w:tc>
          <w:tcPr>
            <w:tcW w:w="170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生均指标</w:t>
            </w:r>
          </w:p>
        </w:tc>
        <w:tc>
          <w:tcPr>
            <w:tcW w:w="1275"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kern w:val="0"/>
                <w:szCs w:val="21"/>
              </w:rPr>
            </w:pPr>
          </w:p>
        </w:tc>
        <w:tc>
          <w:tcPr>
            <w:tcW w:w="12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Cs w:val="21"/>
              </w:rPr>
            </w:pPr>
            <w:r>
              <w:rPr>
                <w:rFonts w:hint="eastAsia" w:ascii="宋体" w:hAnsi="宋体"/>
                <w:kern w:val="0"/>
                <w:szCs w:val="21"/>
              </w:rPr>
              <w:t>10.3</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10.6</w:t>
            </w:r>
          </w:p>
        </w:tc>
        <w:tc>
          <w:tcPr>
            <w:tcW w:w="1276"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9.5</w:t>
            </w:r>
          </w:p>
        </w:tc>
        <w:tc>
          <w:tcPr>
            <w:tcW w:w="127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9.2</w:t>
            </w:r>
          </w:p>
        </w:tc>
        <w:tc>
          <w:tcPr>
            <w:tcW w:w="1025"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8.8</w:t>
            </w:r>
          </w:p>
        </w:tc>
        <w:tc>
          <w:tcPr>
            <w:tcW w:w="992" w:type="dxa"/>
            <w:tcBorders>
              <w:top w:val="nil"/>
              <w:left w:val="nil"/>
              <w:bottom w:val="single" w:color="auto" w:sz="4" w:space="0"/>
              <w:right w:val="single" w:color="auto" w:sz="4" w:space="0"/>
            </w:tcBorders>
            <w:shd w:val="clear" w:color="auto" w:fill="FFFFFF"/>
            <w:vAlign w:val="center"/>
          </w:tcPr>
          <w:p>
            <w:pPr>
              <w:widowControl/>
              <w:jc w:val="center"/>
              <w:rPr>
                <w:rFonts w:ascii="宋体" w:hAnsi="宋体" w:cs="宋体"/>
                <w:kern w:val="0"/>
                <w:szCs w:val="21"/>
              </w:rPr>
            </w:pPr>
            <w:r>
              <w:rPr>
                <w:rFonts w:hint="eastAsia" w:ascii="宋体" w:hAnsi="宋体" w:cs="宋体"/>
                <w:kern w:val="0"/>
                <w:szCs w:val="21"/>
              </w:rPr>
              <w:t>8.5</w:t>
            </w:r>
          </w:p>
        </w:tc>
      </w:tr>
    </w:tbl>
    <w:p>
      <w:pPr>
        <w:tabs>
          <w:tab w:val="left" w:pos="8364"/>
        </w:tabs>
        <w:jc w:val="center"/>
        <w:rPr>
          <w:rFonts w:ascii="宋体" w:hAnsi="宋体"/>
          <w:szCs w:val="21"/>
        </w:rPr>
      </w:pPr>
      <w:r>
        <w:rPr>
          <w:rFonts w:hint="eastAsia" w:ascii="宋体" w:hAnsi="宋体"/>
          <w:szCs w:val="21"/>
        </w:rPr>
        <w:t xml:space="preserve">   </w:t>
      </w:r>
    </w:p>
    <w:p>
      <w:pPr>
        <w:tabs>
          <w:tab w:val="left" w:pos="8364"/>
        </w:tabs>
        <w:jc w:val="center"/>
        <w:rPr>
          <w:rFonts w:ascii="宋体" w:hAnsi="宋体"/>
          <w:b/>
          <w:sz w:val="24"/>
        </w:rPr>
      </w:pPr>
    </w:p>
    <w:p>
      <w:pPr>
        <w:tabs>
          <w:tab w:val="left" w:pos="8364"/>
        </w:tabs>
        <w:jc w:val="center"/>
        <w:rPr>
          <w:rFonts w:ascii="宋体" w:hAnsi="宋体"/>
          <w:b/>
          <w:sz w:val="24"/>
        </w:rPr>
      </w:pPr>
      <w:r>
        <w:rPr>
          <w:rFonts w:hint="eastAsia" w:ascii="宋体" w:hAnsi="宋体"/>
          <w:b/>
          <w:sz w:val="24"/>
        </w:rPr>
        <w:t>普通中小学校教学及辅助用房选配面积参考表            单位：㎡</w:t>
      </w:r>
    </w:p>
    <w:tbl>
      <w:tblPr>
        <w:tblStyle w:val="19"/>
        <w:tblpPr w:leftFromText="180" w:rightFromText="180" w:vertAnchor="text" w:tblpXSpec="center" w:tblpY="1"/>
        <w:tblOverlap w:val="never"/>
        <w:tblW w:w="8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5"/>
        <w:gridCol w:w="1505"/>
        <w:gridCol w:w="2904"/>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675" w:type="dxa"/>
            <w:vMerge w:val="restart"/>
            <w:vAlign w:val="center"/>
          </w:tcPr>
          <w:p>
            <w:pPr>
              <w:jc w:val="center"/>
              <w:rPr>
                <w:rFonts w:ascii="宋体" w:hAnsi="宋体"/>
                <w:szCs w:val="21"/>
              </w:rPr>
            </w:pPr>
            <w:r>
              <w:rPr>
                <w:rFonts w:hint="eastAsia" w:ascii="宋体" w:hAnsi="宋体"/>
                <w:szCs w:val="21"/>
              </w:rPr>
              <w:t>用房名称</w:t>
            </w:r>
          </w:p>
        </w:tc>
        <w:tc>
          <w:tcPr>
            <w:tcW w:w="1505" w:type="dxa"/>
            <w:vMerge w:val="restart"/>
            <w:vAlign w:val="center"/>
          </w:tcPr>
          <w:p>
            <w:pPr>
              <w:jc w:val="center"/>
              <w:rPr>
                <w:rFonts w:ascii="宋体" w:hAnsi="宋体"/>
                <w:szCs w:val="21"/>
              </w:rPr>
            </w:pPr>
            <w:r>
              <w:rPr>
                <w:rFonts w:hint="eastAsia" w:ascii="宋体" w:hAnsi="宋体"/>
                <w:szCs w:val="21"/>
              </w:rPr>
              <w:t>每间</w:t>
            </w:r>
          </w:p>
          <w:p>
            <w:pPr>
              <w:jc w:val="center"/>
              <w:rPr>
                <w:rFonts w:ascii="宋体" w:hAnsi="宋体"/>
                <w:szCs w:val="21"/>
              </w:rPr>
            </w:pPr>
            <w:r>
              <w:rPr>
                <w:rFonts w:hint="eastAsia" w:ascii="宋体" w:hAnsi="宋体"/>
                <w:szCs w:val="21"/>
              </w:rPr>
              <w:t>使用面积</w:t>
            </w:r>
          </w:p>
        </w:tc>
        <w:tc>
          <w:tcPr>
            <w:tcW w:w="2904" w:type="dxa"/>
            <w:vMerge w:val="restart"/>
            <w:vAlign w:val="center"/>
          </w:tcPr>
          <w:p>
            <w:pPr>
              <w:jc w:val="center"/>
              <w:rPr>
                <w:rFonts w:ascii="宋体" w:hAnsi="宋体"/>
                <w:b/>
                <w:szCs w:val="21"/>
              </w:rPr>
            </w:pPr>
            <w:r>
              <w:rPr>
                <w:rFonts w:hint="eastAsia" w:ascii="宋体" w:hAnsi="宋体"/>
                <w:szCs w:val="21"/>
              </w:rPr>
              <w:t>用房名称</w:t>
            </w:r>
          </w:p>
        </w:tc>
        <w:tc>
          <w:tcPr>
            <w:tcW w:w="1540" w:type="dxa"/>
            <w:vMerge w:val="restart"/>
            <w:vAlign w:val="center"/>
          </w:tcPr>
          <w:p>
            <w:pPr>
              <w:jc w:val="center"/>
              <w:rPr>
                <w:rFonts w:ascii="宋体" w:hAnsi="宋体"/>
                <w:szCs w:val="21"/>
              </w:rPr>
            </w:pPr>
            <w:r>
              <w:rPr>
                <w:rFonts w:hint="eastAsia" w:ascii="宋体" w:hAnsi="宋体"/>
                <w:szCs w:val="21"/>
              </w:rPr>
              <w:t>每间</w:t>
            </w:r>
          </w:p>
          <w:p>
            <w:pPr>
              <w:jc w:val="center"/>
              <w:rPr>
                <w:rFonts w:ascii="宋体" w:hAnsi="宋体"/>
                <w:b/>
                <w:szCs w:val="21"/>
              </w:rPr>
            </w:pPr>
            <w:r>
              <w:rPr>
                <w:rFonts w:hint="eastAsia" w:ascii="宋体" w:hAnsi="宋体"/>
                <w:szCs w:val="21"/>
              </w:rPr>
              <w:t>使用面积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675" w:type="dxa"/>
            <w:vMerge w:val="continue"/>
          </w:tcPr>
          <w:p>
            <w:pPr>
              <w:rPr>
                <w:rFonts w:ascii="宋体" w:hAnsi="宋体"/>
                <w:b/>
                <w:szCs w:val="21"/>
              </w:rPr>
            </w:pPr>
          </w:p>
        </w:tc>
        <w:tc>
          <w:tcPr>
            <w:tcW w:w="1505" w:type="dxa"/>
            <w:vMerge w:val="continue"/>
          </w:tcPr>
          <w:p>
            <w:pPr>
              <w:rPr>
                <w:rFonts w:ascii="宋体" w:hAnsi="宋体"/>
                <w:b/>
                <w:szCs w:val="21"/>
              </w:rPr>
            </w:pPr>
          </w:p>
        </w:tc>
        <w:tc>
          <w:tcPr>
            <w:tcW w:w="2904" w:type="dxa"/>
            <w:vMerge w:val="continue"/>
          </w:tcPr>
          <w:p>
            <w:pPr>
              <w:rPr>
                <w:rFonts w:ascii="宋体" w:hAnsi="宋体"/>
                <w:b/>
                <w:szCs w:val="21"/>
              </w:rPr>
            </w:pPr>
          </w:p>
        </w:tc>
        <w:tc>
          <w:tcPr>
            <w:tcW w:w="1540" w:type="dxa"/>
            <w:vMerge w:val="continue"/>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史地教室（小学）</w:t>
            </w:r>
          </w:p>
        </w:tc>
        <w:tc>
          <w:tcPr>
            <w:tcW w:w="1505" w:type="dxa"/>
            <w:vAlign w:val="center"/>
          </w:tcPr>
          <w:p>
            <w:pPr>
              <w:jc w:val="center"/>
              <w:rPr>
                <w:rFonts w:ascii="宋体" w:hAnsi="宋体"/>
                <w:szCs w:val="21"/>
              </w:rPr>
            </w:pPr>
            <w:r>
              <w:rPr>
                <w:rFonts w:hint="eastAsia" w:ascii="宋体" w:hAnsi="宋体"/>
                <w:szCs w:val="21"/>
              </w:rPr>
              <w:t>95</w:t>
            </w:r>
          </w:p>
        </w:tc>
        <w:tc>
          <w:tcPr>
            <w:tcW w:w="2904" w:type="dxa"/>
          </w:tcPr>
          <w:p>
            <w:pPr>
              <w:rPr>
                <w:rFonts w:ascii="宋体" w:hAnsi="宋体"/>
                <w:szCs w:val="21"/>
              </w:rPr>
            </w:pPr>
            <w:r>
              <w:rPr>
                <w:rFonts w:hint="eastAsia" w:ascii="宋体" w:hAnsi="宋体"/>
                <w:szCs w:val="21"/>
              </w:rPr>
              <w:t>微格教室</w:t>
            </w:r>
          </w:p>
        </w:tc>
        <w:tc>
          <w:tcPr>
            <w:tcW w:w="1540" w:type="dxa"/>
            <w:vAlign w:val="center"/>
          </w:tcPr>
          <w:p>
            <w:pPr>
              <w:jc w:val="center"/>
              <w:rPr>
                <w:rFonts w:ascii="宋体" w:hAnsi="宋体"/>
                <w:szCs w:val="21"/>
              </w:rPr>
            </w:pPr>
            <w:r>
              <w:rPr>
                <w:rFonts w:hint="eastAsia" w:ascii="宋体" w:hAnsi="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史地教室辅房</w:t>
            </w:r>
          </w:p>
        </w:tc>
        <w:tc>
          <w:tcPr>
            <w:tcW w:w="1505" w:type="dxa"/>
            <w:vAlign w:val="center"/>
          </w:tcPr>
          <w:p>
            <w:pPr>
              <w:jc w:val="center"/>
              <w:rPr>
                <w:rFonts w:ascii="宋体" w:hAnsi="宋体"/>
                <w:szCs w:val="21"/>
              </w:rPr>
            </w:pPr>
            <w:r>
              <w:rPr>
                <w:rFonts w:hint="eastAsia" w:ascii="宋体" w:hAnsi="宋体"/>
                <w:szCs w:val="21"/>
              </w:rPr>
              <w:t>24</w:t>
            </w:r>
          </w:p>
        </w:tc>
        <w:tc>
          <w:tcPr>
            <w:tcW w:w="2904" w:type="dxa"/>
          </w:tcPr>
          <w:p>
            <w:pPr>
              <w:rPr>
                <w:rFonts w:ascii="宋体" w:hAnsi="宋体"/>
                <w:szCs w:val="21"/>
              </w:rPr>
            </w:pPr>
            <w:r>
              <w:rPr>
                <w:rFonts w:hint="eastAsia" w:ascii="宋体" w:hAnsi="宋体"/>
                <w:szCs w:val="21"/>
              </w:rPr>
              <w:t>微格教室辅房</w:t>
            </w:r>
          </w:p>
        </w:tc>
        <w:tc>
          <w:tcPr>
            <w:tcW w:w="1540" w:type="dxa"/>
            <w:vAlign w:val="center"/>
          </w:tcPr>
          <w:p>
            <w:pPr>
              <w:jc w:val="center"/>
              <w:rPr>
                <w:rFonts w:ascii="宋体" w:hAnsi="宋体"/>
                <w:szCs w:val="21"/>
              </w:rPr>
            </w:pPr>
            <w:r>
              <w:rPr>
                <w:rFonts w:hint="eastAsia" w:ascii="宋体" w:hAnsi="宋体"/>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综合实验室（中学）</w:t>
            </w:r>
          </w:p>
        </w:tc>
        <w:tc>
          <w:tcPr>
            <w:tcW w:w="1505" w:type="dxa"/>
            <w:vAlign w:val="center"/>
          </w:tcPr>
          <w:p>
            <w:pPr>
              <w:jc w:val="center"/>
              <w:rPr>
                <w:rFonts w:ascii="宋体" w:hAnsi="宋体"/>
                <w:szCs w:val="21"/>
              </w:rPr>
            </w:pPr>
            <w:r>
              <w:rPr>
                <w:rFonts w:hint="eastAsia" w:ascii="宋体" w:hAnsi="宋体"/>
                <w:szCs w:val="21"/>
              </w:rPr>
              <w:t>146</w:t>
            </w:r>
          </w:p>
        </w:tc>
        <w:tc>
          <w:tcPr>
            <w:tcW w:w="2904" w:type="dxa"/>
          </w:tcPr>
          <w:p>
            <w:pPr>
              <w:rPr>
                <w:rFonts w:ascii="宋体" w:hAnsi="宋体"/>
                <w:szCs w:val="21"/>
              </w:rPr>
            </w:pPr>
            <w:r>
              <w:rPr>
                <w:rFonts w:hint="eastAsia" w:ascii="宋体" w:hAnsi="宋体"/>
                <w:szCs w:val="21"/>
              </w:rPr>
              <w:t>舞蹈教室</w:t>
            </w:r>
          </w:p>
        </w:tc>
        <w:tc>
          <w:tcPr>
            <w:tcW w:w="1540" w:type="dxa"/>
            <w:vAlign w:val="center"/>
          </w:tcPr>
          <w:p>
            <w:pPr>
              <w:jc w:val="center"/>
              <w:rPr>
                <w:rFonts w:ascii="宋体" w:hAnsi="宋体"/>
                <w:szCs w:val="21"/>
              </w:rPr>
            </w:pPr>
            <w:r>
              <w:rPr>
                <w:rFonts w:hint="eastAsia" w:ascii="宋体" w:hAnsi="宋体"/>
                <w:szCs w:val="21"/>
              </w:rPr>
              <w:t>135～157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综合实验室辅房</w:t>
            </w:r>
          </w:p>
        </w:tc>
        <w:tc>
          <w:tcPr>
            <w:tcW w:w="1505" w:type="dxa"/>
            <w:vAlign w:val="center"/>
          </w:tcPr>
          <w:p>
            <w:pPr>
              <w:jc w:val="center"/>
              <w:rPr>
                <w:rFonts w:ascii="宋体" w:hAnsi="宋体"/>
                <w:szCs w:val="21"/>
              </w:rPr>
            </w:pPr>
            <w:r>
              <w:rPr>
                <w:rFonts w:hint="eastAsia" w:ascii="宋体" w:hAnsi="宋体"/>
                <w:szCs w:val="21"/>
              </w:rPr>
              <w:t>24</w:t>
            </w:r>
          </w:p>
        </w:tc>
        <w:tc>
          <w:tcPr>
            <w:tcW w:w="2904" w:type="dxa"/>
          </w:tcPr>
          <w:p>
            <w:pPr>
              <w:rPr>
                <w:rFonts w:ascii="宋体" w:hAnsi="宋体"/>
                <w:szCs w:val="21"/>
              </w:rPr>
            </w:pPr>
            <w:r>
              <w:rPr>
                <w:rFonts w:hint="eastAsia" w:ascii="宋体" w:hAnsi="宋体"/>
                <w:szCs w:val="21"/>
              </w:rPr>
              <w:t>舞蹈教室辅房</w:t>
            </w:r>
          </w:p>
        </w:tc>
        <w:tc>
          <w:tcPr>
            <w:tcW w:w="1540" w:type="dxa"/>
            <w:vAlign w:val="center"/>
          </w:tcPr>
          <w:p>
            <w:pPr>
              <w:jc w:val="center"/>
              <w:rPr>
                <w:rFonts w:ascii="宋体" w:hAnsi="宋体"/>
                <w:szCs w:val="21"/>
              </w:rPr>
            </w:pPr>
            <w:r>
              <w:rPr>
                <w:rFonts w:hint="eastAsia" w:ascii="宋体" w:hAnsi="宋体"/>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演示实验室（中学）</w:t>
            </w:r>
          </w:p>
        </w:tc>
        <w:tc>
          <w:tcPr>
            <w:tcW w:w="1505" w:type="dxa"/>
            <w:vAlign w:val="center"/>
          </w:tcPr>
          <w:p>
            <w:pPr>
              <w:jc w:val="center"/>
              <w:rPr>
                <w:rFonts w:ascii="宋体" w:hAnsi="宋体"/>
                <w:szCs w:val="21"/>
              </w:rPr>
            </w:pPr>
            <w:r>
              <w:rPr>
                <w:rFonts w:hint="eastAsia" w:ascii="宋体" w:hAnsi="宋体"/>
                <w:szCs w:val="21"/>
              </w:rPr>
              <w:t>72</w:t>
            </w:r>
          </w:p>
        </w:tc>
        <w:tc>
          <w:tcPr>
            <w:tcW w:w="2904" w:type="dxa"/>
          </w:tcPr>
          <w:p>
            <w:pPr>
              <w:rPr>
                <w:rFonts w:ascii="宋体" w:hAnsi="宋体"/>
                <w:szCs w:val="21"/>
              </w:rPr>
            </w:pPr>
            <w:r>
              <w:rPr>
                <w:rFonts w:hint="eastAsia" w:ascii="宋体" w:hAnsi="宋体"/>
                <w:szCs w:val="21"/>
              </w:rPr>
              <w:t>心理活动室</w:t>
            </w:r>
          </w:p>
        </w:tc>
        <w:tc>
          <w:tcPr>
            <w:tcW w:w="1540" w:type="dxa"/>
            <w:vAlign w:val="center"/>
          </w:tcPr>
          <w:p>
            <w:pPr>
              <w:jc w:val="center"/>
              <w:rPr>
                <w:rFonts w:ascii="宋体" w:hAnsi="宋体"/>
                <w:szCs w:val="21"/>
              </w:rPr>
            </w:pPr>
            <w:r>
              <w:rPr>
                <w:rFonts w:hint="eastAsia" w:ascii="宋体" w:hAnsi="宋体"/>
                <w:szCs w:val="21"/>
              </w:rPr>
              <w:t>47～51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tcPr>
          <w:p>
            <w:pPr>
              <w:rPr>
                <w:rFonts w:ascii="宋体" w:hAnsi="宋体"/>
                <w:szCs w:val="21"/>
              </w:rPr>
            </w:pPr>
            <w:r>
              <w:rPr>
                <w:rFonts w:hint="eastAsia" w:ascii="宋体" w:hAnsi="宋体"/>
                <w:szCs w:val="21"/>
              </w:rPr>
              <w:t>远程教育室</w:t>
            </w:r>
          </w:p>
        </w:tc>
        <w:tc>
          <w:tcPr>
            <w:tcW w:w="1505" w:type="dxa"/>
            <w:vAlign w:val="center"/>
          </w:tcPr>
          <w:p>
            <w:pPr>
              <w:jc w:val="center"/>
              <w:rPr>
                <w:rFonts w:ascii="宋体" w:hAnsi="宋体"/>
                <w:szCs w:val="21"/>
              </w:rPr>
            </w:pPr>
            <w:r>
              <w:rPr>
                <w:rFonts w:hint="eastAsia" w:ascii="宋体" w:hAnsi="宋体"/>
                <w:szCs w:val="21"/>
              </w:rPr>
              <w:t>50</w:t>
            </w:r>
          </w:p>
        </w:tc>
        <w:tc>
          <w:tcPr>
            <w:tcW w:w="2904" w:type="dxa"/>
          </w:tcPr>
          <w:p>
            <w:pPr>
              <w:rPr>
                <w:rFonts w:ascii="宋体" w:hAnsi="宋体"/>
                <w:szCs w:val="21"/>
              </w:rPr>
            </w:pPr>
            <w:r>
              <w:rPr>
                <w:rFonts w:hint="eastAsia" w:ascii="宋体" w:hAnsi="宋体"/>
                <w:szCs w:val="21"/>
              </w:rPr>
              <w:t>室内游泳池及辅房</w:t>
            </w:r>
          </w:p>
        </w:tc>
        <w:tc>
          <w:tcPr>
            <w:tcW w:w="1540" w:type="dxa"/>
            <w:vAlign w:val="center"/>
          </w:tcPr>
          <w:p>
            <w:pPr>
              <w:jc w:val="center"/>
              <w:rPr>
                <w:rFonts w:ascii="宋体" w:hAnsi="宋体"/>
                <w:szCs w:val="21"/>
              </w:rPr>
            </w:pPr>
            <w:r>
              <w:rPr>
                <w:rFonts w:hint="eastAsia" w:ascii="宋体" w:hAnsi="宋体"/>
                <w:szCs w:val="21"/>
              </w:rPr>
              <w:t>900～1630</w:t>
            </w:r>
          </w:p>
        </w:tc>
      </w:tr>
    </w:tbl>
    <w:p>
      <w:pPr>
        <w:adjustRightInd w:val="0"/>
        <w:snapToGrid w:val="0"/>
        <w:spacing w:line="520" w:lineRule="exact"/>
        <w:rPr>
          <w:rFonts w:cs="宋体"/>
          <w:sz w:val="24"/>
          <w:szCs w:val="20"/>
        </w:rPr>
      </w:pPr>
      <w:r>
        <w:rPr>
          <w:rFonts w:hint="eastAsia" w:ascii="宋体" w:hAnsi="宋体"/>
          <w:b/>
          <w:szCs w:val="21"/>
        </w:rPr>
        <w:t xml:space="preserve">    </w:t>
      </w:r>
      <w:r>
        <w:rPr>
          <w:rFonts w:hint="eastAsia" w:ascii="宋体" w:hAnsi="宋体"/>
          <w:b/>
          <w:sz w:val="24"/>
        </w:rPr>
        <w:t>D、推荐标准</w:t>
      </w:r>
    </w:p>
    <w:p>
      <w:pPr>
        <w:adjustRightInd w:val="0"/>
        <w:snapToGrid w:val="0"/>
        <w:spacing w:line="520" w:lineRule="exact"/>
        <w:ind w:firstLine="480" w:firstLineChars="200"/>
        <w:rPr>
          <w:rFonts w:ascii="宋体" w:hAnsi="宋体"/>
          <w:b/>
          <w:sz w:val="24"/>
        </w:rPr>
      </w:pPr>
      <w:r>
        <w:rPr>
          <w:rFonts w:hint="eastAsia" w:cs="宋体"/>
          <w:sz w:val="24"/>
          <w:szCs w:val="20"/>
        </w:rPr>
        <w:t>对比以上国家标准、广东省标准与深圳标准，广东省标准只有最低标准且没有</w:t>
      </w:r>
      <w:r>
        <w:rPr>
          <w:rFonts w:hint="eastAsia" w:ascii="宋体" w:hAnsi="宋体"/>
          <w:sz w:val="24"/>
        </w:rPr>
        <w:t>《普通中小学校建设标准（征求意见稿）》（教发司[2015]117号2015年7月27日）及</w:t>
      </w:r>
      <w:r>
        <w:rPr>
          <w:rFonts w:hint="eastAsia" w:cs="宋体"/>
          <w:sz w:val="24"/>
          <w:szCs w:val="20"/>
        </w:rPr>
        <w:t>深圳标准详细、明确。</w:t>
      </w:r>
      <w:r>
        <w:rPr>
          <w:rFonts w:hint="eastAsia" w:ascii="宋体" w:hAnsi="宋体"/>
          <w:sz w:val="24"/>
        </w:rPr>
        <w:t>相比广东省标准，《普通中小学校建设标准（征求意见稿）》（教发司[2015]117号2015年7月27日）与《深圳市普通中小学校建设标准指引》（2016年4月）对小学学校建设标准有非常详细的规定，</w:t>
      </w:r>
      <w:r>
        <w:rPr>
          <w:rFonts w:hint="eastAsia" w:cs="宋体"/>
          <w:sz w:val="24"/>
          <w:szCs w:val="20"/>
        </w:rPr>
        <w:t xml:space="preserve"> 其中校舍功能和广东省标准一样，但对学校建筑面积、使用面积、使用系数都有很明确的、详细的补充，对校舍规模不但设置了下限，还设置了上限。</w:t>
      </w:r>
    </w:p>
    <w:p>
      <w:pPr>
        <w:adjustRightInd w:val="0"/>
        <w:snapToGrid w:val="0"/>
        <w:spacing w:line="520" w:lineRule="exact"/>
        <w:ind w:firstLine="480" w:firstLineChars="200"/>
        <w:rPr>
          <w:rFonts w:cs="宋体"/>
          <w:sz w:val="24"/>
          <w:szCs w:val="20"/>
        </w:rPr>
      </w:pPr>
      <w:r>
        <w:rPr>
          <w:rFonts w:hint="eastAsia" w:ascii="宋体" w:hAnsi="宋体"/>
          <w:sz w:val="24"/>
        </w:rPr>
        <w:t>对比《普通中小学校建设标准（征求意见稿）》（教发司[2015]117号2015年7月27日）和《深圳市普通中小学校建设标准指引》（2016年4月）可以发现，在必备校舍和选备校舍方面，《深圳市普通中小学校建设标准指引》（2016年4月）比《普通中小学校建设标准（征求意见稿）》（教发司[2015]117号2015年7月27日）要求高，代表了先进地区的教学要求，而且建筑使用系数使用更合理。另外，深圳标准是经评审的正在深圳地区推行的标准，因此，综合推荐使用深圳标准。</w:t>
      </w:r>
    </w:p>
    <w:p>
      <w:pPr>
        <w:adjustRightInd w:val="0"/>
        <w:snapToGrid w:val="0"/>
        <w:spacing w:line="520" w:lineRule="exact"/>
        <w:ind w:firstLine="480" w:firstLineChars="200"/>
        <w:rPr>
          <w:rFonts w:ascii="宋体" w:hAnsi="宋体"/>
          <w:sz w:val="24"/>
        </w:rPr>
      </w:pPr>
      <w:r>
        <w:rPr>
          <w:rFonts w:hint="eastAsia" w:ascii="宋体" w:hAnsi="宋体"/>
          <w:sz w:val="24"/>
        </w:rPr>
        <w:t>2、选配校舍</w:t>
      </w:r>
    </w:p>
    <w:p>
      <w:pPr>
        <w:adjustRightInd w:val="0"/>
        <w:snapToGrid w:val="0"/>
        <w:spacing w:line="520" w:lineRule="exact"/>
        <w:ind w:firstLine="480" w:firstLineChars="200"/>
        <w:rPr>
          <w:rFonts w:cs="宋体"/>
          <w:sz w:val="24"/>
          <w:szCs w:val="20"/>
        </w:rPr>
      </w:pPr>
      <w:r>
        <w:rPr>
          <w:rFonts w:hint="eastAsia" w:cs="宋体"/>
          <w:sz w:val="24"/>
          <w:szCs w:val="20"/>
        </w:rPr>
        <w:t>根据</w:t>
      </w:r>
      <w:r>
        <w:rPr>
          <w:rFonts w:hint="eastAsia" w:ascii="宋体" w:hAnsi="宋体"/>
          <w:sz w:val="24"/>
        </w:rPr>
        <w:t>《深圳市普通中小学校建设标准指引》（2016年4月），</w:t>
      </w:r>
      <w:r>
        <w:rPr>
          <w:rFonts w:hint="eastAsia" w:cs="宋体"/>
          <w:sz w:val="24"/>
          <w:szCs w:val="20"/>
        </w:rPr>
        <w:t>选配校舍也进行了规定：</w:t>
      </w:r>
    </w:p>
    <w:p>
      <w:pPr>
        <w:widowControl/>
        <w:spacing w:line="0" w:lineRule="atLeast"/>
        <w:jc w:val="left"/>
        <w:rPr>
          <w:rFonts w:ascii="宋体" w:hAnsi="宋体" w:cs="宋体"/>
          <w:kern w:val="0"/>
          <w:sz w:val="24"/>
        </w:rPr>
      </w:pPr>
      <w:r>
        <w:rPr>
          <w:rFonts w:hint="eastAsia" w:ascii="宋体" w:hAnsi="宋体" w:cs="宋体"/>
          <w:kern w:val="0"/>
          <w:sz w:val="24"/>
        </w:rPr>
        <w:drawing>
          <wp:inline distT="0" distB="0" distL="0" distR="0">
            <wp:extent cx="4785995" cy="112839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a:srcRect/>
                    <a:stretch>
                      <a:fillRect/>
                    </a:stretch>
                  </pic:blipFill>
                  <pic:spPr>
                    <a:xfrm>
                      <a:off x="0" y="0"/>
                      <a:ext cx="4785995" cy="1128395"/>
                    </a:xfrm>
                    <a:prstGeom prst="rect">
                      <a:avLst/>
                    </a:prstGeom>
                    <a:noFill/>
                    <a:ln w="9525">
                      <a:noFill/>
                      <a:miter lim="800000"/>
                      <a:headEnd/>
                      <a:tailEnd/>
                    </a:ln>
                  </pic:spPr>
                </pic:pic>
              </a:graphicData>
            </a:graphic>
          </wp:inline>
        </w:drawing>
      </w:r>
    </w:p>
    <w:p>
      <w:pPr>
        <w:widowControl/>
        <w:spacing w:line="0" w:lineRule="atLeast"/>
        <w:jc w:val="left"/>
        <w:rPr>
          <w:rFonts w:ascii="宋体" w:hAnsi="宋体" w:cs="宋体"/>
          <w:kern w:val="0"/>
          <w:sz w:val="24"/>
        </w:rPr>
      </w:pPr>
      <w:r>
        <w:rPr>
          <w:rFonts w:hint="eastAsia" w:ascii="宋体" w:hAnsi="宋体" w:cs="宋体"/>
          <w:kern w:val="0"/>
          <w:sz w:val="24"/>
        </w:rPr>
        <w:drawing>
          <wp:inline distT="0" distB="0" distL="0" distR="0">
            <wp:extent cx="4785995" cy="3859530"/>
            <wp:effectExtent l="19050" t="0" r="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pic:cNvPicPr>
                      <a:picLocks noChangeAspect="1" noChangeArrowheads="1"/>
                    </pic:cNvPicPr>
                  </pic:nvPicPr>
                  <pic:blipFill>
                    <a:blip r:embed="rId15"/>
                    <a:srcRect/>
                    <a:stretch>
                      <a:fillRect/>
                    </a:stretch>
                  </pic:blipFill>
                  <pic:spPr>
                    <a:xfrm>
                      <a:off x="0" y="0"/>
                      <a:ext cx="4785995" cy="3859530"/>
                    </a:xfrm>
                    <a:prstGeom prst="rect">
                      <a:avLst/>
                    </a:prstGeom>
                    <a:noFill/>
                    <a:ln w="9525">
                      <a:noFill/>
                      <a:miter lim="800000"/>
                      <a:headEnd/>
                      <a:tailEnd/>
                    </a:ln>
                  </pic:spPr>
                </pic:pic>
              </a:graphicData>
            </a:graphic>
          </wp:inline>
        </w:drawing>
      </w:r>
    </w:p>
    <w:p>
      <w:pPr>
        <w:widowControl/>
        <w:spacing w:line="0" w:lineRule="atLeast"/>
        <w:jc w:val="left"/>
        <w:rPr>
          <w:rFonts w:ascii="宋体" w:hAnsi="宋体" w:cs="宋体"/>
          <w:kern w:val="0"/>
          <w:sz w:val="24"/>
        </w:rPr>
      </w:pPr>
    </w:p>
    <w:p>
      <w:pPr>
        <w:adjustRightInd w:val="0"/>
        <w:snapToGrid w:val="0"/>
        <w:spacing w:line="520" w:lineRule="exact"/>
        <w:ind w:firstLine="482" w:firstLineChars="200"/>
        <w:rPr>
          <w:rFonts w:ascii="宋体" w:hAnsi="宋体"/>
          <w:b/>
          <w:sz w:val="24"/>
        </w:rPr>
      </w:pPr>
      <w:r>
        <w:rPr>
          <w:rFonts w:hint="eastAsia" w:ascii="宋体" w:hAnsi="宋体"/>
          <w:b/>
          <w:sz w:val="24"/>
        </w:rPr>
        <w:t>3、校舍建筑规模需求</w:t>
      </w:r>
    </w:p>
    <w:p>
      <w:pPr>
        <w:adjustRightInd w:val="0"/>
        <w:snapToGrid w:val="0"/>
        <w:spacing w:line="520" w:lineRule="exact"/>
        <w:ind w:firstLine="480" w:firstLineChars="200"/>
        <w:rPr>
          <w:rFonts w:ascii="宋体" w:hAnsi="宋体"/>
          <w:sz w:val="24"/>
        </w:rPr>
      </w:pPr>
      <w:r>
        <w:rPr>
          <w:rFonts w:hint="eastAsia" w:ascii="宋体" w:hAnsi="宋体"/>
          <w:sz w:val="24"/>
        </w:rPr>
        <w:t>（1）必配校舍</w:t>
      </w:r>
    </w:p>
    <w:p>
      <w:pPr>
        <w:adjustRightInd w:val="0"/>
        <w:snapToGrid w:val="0"/>
        <w:spacing w:line="520" w:lineRule="exact"/>
        <w:ind w:firstLine="480" w:firstLineChars="200"/>
        <w:rPr>
          <w:rFonts w:ascii="宋体" w:hAnsi="宋体"/>
          <w:sz w:val="24"/>
        </w:rPr>
      </w:pPr>
      <w:r>
        <w:rPr>
          <w:rFonts w:hint="eastAsia" w:ascii="宋体" w:hAnsi="宋体"/>
          <w:sz w:val="24"/>
        </w:rPr>
        <w:t>根据项目办学目标规模，为36个教学班，可按照标准规定的标准班36个班。</w:t>
      </w:r>
    </w:p>
    <w:p>
      <w:pPr>
        <w:adjustRightInd w:val="0"/>
        <w:snapToGrid w:val="0"/>
        <w:spacing w:line="520" w:lineRule="exact"/>
        <w:ind w:firstLine="480" w:firstLineChars="200"/>
        <w:rPr>
          <w:rFonts w:ascii="宋体" w:hAnsi="宋体"/>
          <w:sz w:val="24"/>
        </w:rPr>
      </w:pPr>
      <w:r>
        <w:rPr>
          <w:rFonts w:hint="eastAsia" w:ascii="宋体" w:hAnsi="宋体"/>
          <w:sz w:val="24"/>
        </w:rPr>
        <w:t>根据《深圳市普通中小学校建设标准指引》（2016年4月），36个班总建筑规模为18623平方米，生均建筑面积为11.50平方米。</w:t>
      </w:r>
    </w:p>
    <w:p>
      <w:pPr>
        <w:adjustRightInd w:val="0"/>
        <w:snapToGrid w:val="0"/>
        <w:spacing w:line="520" w:lineRule="exact"/>
        <w:ind w:firstLine="480" w:firstLineChars="200"/>
        <w:rPr>
          <w:rFonts w:ascii="宋体" w:hAnsi="宋体"/>
          <w:sz w:val="24"/>
        </w:rPr>
      </w:pPr>
      <w:r>
        <w:rPr>
          <w:rFonts w:hint="eastAsia" w:ascii="宋体" w:hAnsi="宋体"/>
          <w:sz w:val="24"/>
        </w:rPr>
        <w:t>（2）选配校舍</w:t>
      </w:r>
    </w:p>
    <w:p>
      <w:pPr>
        <w:adjustRightInd w:val="0"/>
        <w:snapToGrid w:val="0"/>
        <w:spacing w:line="520" w:lineRule="exact"/>
        <w:ind w:firstLine="480" w:firstLineChars="200"/>
        <w:rPr>
          <w:rFonts w:ascii="宋体" w:hAnsi="宋体"/>
          <w:sz w:val="24"/>
        </w:rPr>
      </w:pPr>
      <w:r>
        <w:rPr>
          <w:rFonts w:hint="eastAsia" w:ascii="宋体" w:hAnsi="宋体"/>
          <w:sz w:val="24"/>
        </w:rPr>
        <w:t>①架空层</w:t>
      </w:r>
    </w:p>
    <w:p>
      <w:pPr>
        <w:adjustRightInd w:val="0"/>
        <w:snapToGrid w:val="0"/>
        <w:spacing w:line="520" w:lineRule="exact"/>
        <w:ind w:firstLine="480" w:firstLineChars="200"/>
        <w:rPr>
          <w:rFonts w:ascii="宋体" w:hAnsi="宋体"/>
          <w:sz w:val="24"/>
        </w:rPr>
      </w:pPr>
      <w:r>
        <w:rPr>
          <w:rFonts w:hint="eastAsia" w:ascii="宋体" w:hAnsi="宋体"/>
          <w:sz w:val="24"/>
        </w:rPr>
        <w:t>珠海汇华实验学校规模为36个班、6个活动教室，1620人，按照1平方米/人，架空层面积为1620平方米。</w:t>
      </w:r>
    </w:p>
    <w:p>
      <w:pPr>
        <w:adjustRightInd w:val="0"/>
        <w:snapToGrid w:val="0"/>
        <w:spacing w:line="520" w:lineRule="exact"/>
        <w:ind w:firstLine="480" w:firstLineChars="200"/>
        <w:rPr>
          <w:rFonts w:ascii="宋体" w:hAnsi="宋体"/>
          <w:sz w:val="24"/>
        </w:rPr>
      </w:pPr>
      <w:r>
        <w:rPr>
          <w:rFonts w:hint="eastAsia" w:ascii="宋体" w:hAnsi="宋体"/>
          <w:sz w:val="24"/>
        </w:rPr>
        <w:t>②地下停车场</w:t>
      </w:r>
    </w:p>
    <w:p>
      <w:pPr>
        <w:adjustRightInd w:val="0"/>
        <w:snapToGrid w:val="0"/>
        <w:spacing w:line="520" w:lineRule="exact"/>
        <w:ind w:firstLine="480" w:firstLineChars="200"/>
        <w:rPr>
          <w:rFonts w:ascii="宋体" w:hAnsi="宋体"/>
          <w:sz w:val="24"/>
        </w:rPr>
      </w:pPr>
      <w:r>
        <w:rPr>
          <w:rFonts w:hint="eastAsia" w:ascii="宋体" w:hAnsi="宋体"/>
          <w:sz w:val="24"/>
        </w:rPr>
        <w:t>为缓解用地紧张及教职工停车难的问题，拟设置地下停车场，放学后运动场开放给社区的同时，为使用人群提供停车方便。</w:t>
      </w:r>
    </w:p>
    <w:p>
      <w:pPr>
        <w:adjustRightInd w:val="0"/>
        <w:snapToGrid w:val="0"/>
        <w:spacing w:line="520" w:lineRule="exact"/>
        <w:ind w:firstLine="480" w:firstLineChars="200"/>
        <w:rPr>
          <w:rFonts w:ascii="宋体" w:hAnsi="宋体" w:cs="宋体"/>
          <w:kern w:val="0"/>
          <w:sz w:val="24"/>
        </w:rPr>
      </w:pPr>
    </w:p>
    <w:p>
      <w:pPr>
        <w:adjustRightInd w:val="0"/>
        <w:snapToGrid w:val="0"/>
        <w:spacing w:line="520" w:lineRule="exact"/>
        <w:ind w:firstLine="480" w:firstLineChars="200"/>
        <w:rPr>
          <w:rFonts w:ascii="宋体" w:hAnsi="宋体" w:cs="宋体"/>
          <w:kern w:val="0"/>
          <w:sz w:val="24"/>
        </w:rPr>
      </w:pPr>
    </w:p>
    <w:p>
      <w:pPr>
        <w:adjustRightInd w:val="0"/>
        <w:snapToGrid w:val="0"/>
        <w:spacing w:before="240" w:line="360" w:lineRule="auto"/>
        <w:ind w:firstLine="472" w:firstLineChars="196"/>
        <w:rPr>
          <w:rFonts w:ascii="宋体" w:hAnsi="宋体"/>
          <w:b/>
          <w:sz w:val="24"/>
        </w:rPr>
      </w:pPr>
      <w:r>
        <w:rPr>
          <w:rFonts w:hint="eastAsia" w:ascii="宋体" w:hAnsi="宋体"/>
          <w:b/>
          <w:sz w:val="24"/>
        </w:rPr>
        <w:t>四、运动场地与室外体育设施</w:t>
      </w:r>
    </w:p>
    <w:p>
      <w:pPr>
        <w:adjustRightInd w:val="0"/>
        <w:snapToGrid w:val="0"/>
        <w:spacing w:line="520" w:lineRule="exact"/>
        <w:ind w:firstLine="480" w:firstLineChars="200"/>
        <w:rPr>
          <w:rFonts w:ascii="宋体" w:hAnsi="宋体"/>
          <w:sz w:val="24"/>
        </w:rPr>
      </w:pPr>
      <w:r>
        <w:rPr>
          <w:rFonts w:hint="eastAsia" w:ascii="宋体" w:hAnsi="宋体"/>
          <w:sz w:val="24"/>
        </w:rPr>
        <w:t>根据《深圳市普通中小学校建设标准指引》（2016年4月），本项目建设</w:t>
      </w:r>
      <w:r>
        <w:rPr>
          <w:rFonts w:ascii="宋体" w:hAnsi="宋体"/>
          <w:sz w:val="24"/>
        </w:rPr>
        <w:t xml:space="preserve">1 </w:t>
      </w:r>
      <w:r>
        <w:rPr>
          <w:rFonts w:hint="eastAsia" w:ascii="宋体" w:hAnsi="宋体"/>
          <w:sz w:val="24"/>
        </w:rPr>
        <w:t>处300</w:t>
      </w:r>
      <w:r>
        <w:rPr>
          <w:rFonts w:ascii="宋体" w:hAnsi="宋体"/>
          <w:sz w:val="24"/>
        </w:rPr>
        <w:t xml:space="preserve"> </w:t>
      </w:r>
      <w:r>
        <w:rPr>
          <w:rFonts w:hint="eastAsia" w:ascii="宋体" w:hAnsi="宋体"/>
          <w:sz w:val="24"/>
        </w:rPr>
        <w:t>米标准环形跑道（其中含不小于110</w:t>
      </w:r>
      <w:r>
        <w:rPr>
          <w:rFonts w:ascii="宋体" w:hAnsi="宋体"/>
          <w:sz w:val="24"/>
        </w:rPr>
        <w:t xml:space="preserve"> </w:t>
      </w:r>
      <w:r>
        <w:rPr>
          <w:rFonts w:hint="eastAsia" w:ascii="宋体" w:hAnsi="宋体"/>
          <w:sz w:val="24"/>
        </w:rPr>
        <w:t>米的直跑道）和风雨操场，并配套建设篮球场、排球场（兼羽毛球场）和器械场地。</w:t>
      </w:r>
    </w:p>
    <w:p>
      <w:pPr>
        <w:adjustRightInd w:val="0"/>
        <w:snapToGrid w:val="0"/>
        <w:spacing w:line="520" w:lineRule="exact"/>
        <w:ind w:firstLine="472" w:firstLineChars="196"/>
        <w:rPr>
          <w:rFonts w:ascii="宋体" w:hAnsi="宋体"/>
          <w:b/>
          <w:sz w:val="24"/>
        </w:rPr>
      </w:pPr>
      <w:r>
        <w:rPr>
          <w:rFonts w:hint="eastAsia" w:ascii="宋体" w:hAnsi="宋体"/>
          <w:b/>
          <w:sz w:val="24"/>
        </w:rPr>
        <w:t>五、本项目建设内容</w:t>
      </w:r>
    </w:p>
    <w:p>
      <w:pPr>
        <w:adjustRightInd w:val="0"/>
        <w:snapToGrid w:val="0"/>
        <w:spacing w:line="360" w:lineRule="auto"/>
        <w:ind w:firstLine="480" w:firstLineChars="200"/>
        <w:rPr>
          <w:rFonts w:asciiTheme="minorEastAsia" w:hAnsiTheme="minorEastAsia" w:eastAsiaTheme="minorEastAsia"/>
          <w:sz w:val="24"/>
        </w:rPr>
      </w:pPr>
      <w:r>
        <w:rPr>
          <w:rFonts w:hint="eastAsia" w:ascii="宋体" w:hAnsi="宋体"/>
          <w:sz w:val="24"/>
        </w:rPr>
        <w:t>综上，本项目建设的内容包括各功能校舍、其他配套用房、运动场、室外配套工程（校门、校内道路、围墙、绿化及广场等）。</w:t>
      </w:r>
    </w:p>
    <w:p>
      <w:pPr>
        <w:adjustRightInd w:val="0"/>
        <w:snapToGrid w:val="0"/>
        <w:spacing w:line="360" w:lineRule="auto"/>
        <w:ind w:firstLine="480" w:firstLineChars="200"/>
        <w:rPr>
          <w:rFonts w:asciiTheme="minorEastAsia" w:hAnsiTheme="minorEastAsia" w:eastAsiaTheme="minorEastAsia"/>
          <w:sz w:val="24"/>
        </w:rPr>
      </w:pP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27" w:name="_Toc498870088"/>
      <w:bookmarkStart w:id="28" w:name="_Toc515980387"/>
      <w:r>
        <w:rPr>
          <w:rFonts w:hint="eastAsia" w:ascii="宋体" w:hAnsi="宋体"/>
          <w:bCs w:val="0"/>
          <w:kern w:val="2"/>
          <w:sz w:val="36"/>
        </w:rPr>
        <w:t xml:space="preserve">第三章  </w:t>
      </w:r>
      <w:bookmarkEnd w:id="27"/>
      <w:r>
        <w:rPr>
          <w:rFonts w:hint="eastAsia" w:ascii="宋体" w:hAnsi="宋体"/>
          <w:bCs w:val="0"/>
          <w:kern w:val="2"/>
          <w:sz w:val="36"/>
        </w:rPr>
        <w:t>项目建设的必要性</w:t>
      </w:r>
      <w:bookmarkEnd w:id="28"/>
    </w:p>
    <w:p>
      <w:pPr>
        <w:pStyle w:val="3"/>
      </w:pPr>
      <w:bookmarkStart w:id="29" w:name="_Toc509586050"/>
      <w:bookmarkStart w:id="30" w:name="_Toc515980388"/>
      <w:r>
        <w:rPr>
          <w:rFonts w:hint="eastAsia"/>
        </w:rPr>
        <w:t>3.1  项目建设是全面贯彻落实党十九大精神的需要</w:t>
      </w:r>
      <w:bookmarkEnd w:id="29"/>
      <w:bookmarkEnd w:id="30"/>
    </w:p>
    <w:p>
      <w:pPr>
        <w:pStyle w:val="65"/>
      </w:pPr>
      <w:r>
        <w:rPr>
          <w:rFonts w:hint="eastAsia"/>
        </w:rPr>
        <w:t>以推进全市教育的一体化、协调化、均衡化、素质化和国际化为目标，形成满足全民学习需求的现新格局。全市教育总体水平达到发达国家的平均水平，成为国内一流和有一定国际影代教育新体系，形成激发受教育者发展潜能的人才培养新模式，形成确保人人享受公共教育服务的政策新框架，形成与珠海城市定位相匹配的高水平、有特色、开放式教育响力的教育名城。珠海市教育发展和人力资源开发主要指标如下： </w:t>
      </w:r>
    </w:p>
    <w:tbl>
      <w:tblPr>
        <w:tblStyle w:val="19"/>
        <w:tblW w:w="8990" w:type="dxa"/>
        <w:tblInd w:w="0" w:type="dxa"/>
        <w:tblLayout w:type="fixed"/>
        <w:tblCellMar>
          <w:top w:w="0" w:type="dxa"/>
          <w:left w:w="0" w:type="dxa"/>
          <w:bottom w:w="0" w:type="dxa"/>
          <w:right w:w="0" w:type="dxa"/>
        </w:tblCellMar>
      </w:tblPr>
      <w:tblGrid>
        <w:gridCol w:w="675"/>
        <w:gridCol w:w="3686"/>
        <w:gridCol w:w="1119"/>
        <w:gridCol w:w="1170"/>
        <w:gridCol w:w="1170"/>
        <w:gridCol w:w="1170"/>
      </w:tblGrid>
      <w:tr>
        <w:tblPrEx>
          <w:tblLayout w:type="fixed"/>
          <w:tblCellMar>
            <w:top w:w="0" w:type="dxa"/>
            <w:left w:w="0" w:type="dxa"/>
            <w:bottom w:w="0" w:type="dxa"/>
            <w:right w:w="0" w:type="dxa"/>
          </w:tblCellMar>
        </w:tblPrEx>
        <w:trPr>
          <w:trHeight w:val="340" w:hRule="atLeast"/>
        </w:trPr>
        <w:tc>
          <w:tcPr>
            <w:tcW w:w="6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序号</w:t>
            </w:r>
          </w:p>
        </w:tc>
        <w:tc>
          <w:tcPr>
            <w:tcW w:w="3686" w:type="dxa"/>
            <w:tcBorders>
              <w:top w:val="single" w:color="auto" w:sz="8"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指</w:t>
            </w:r>
            <w:r>
              <w:rPr>
                <w:rFonts w:hint="eastAsia" w:ascii="宋体" w:hAnsi="宋体" w:cs="宋体"/>
                <w:kern w:val="0"/>
                <w:szCs w:val="18"/>
              </w:rPr>
              <w:t xml:space="preserve">  </w:t>
            </w:r>
            <w:r>
              <w:rPr>
                <w:rFonts w:hint="eastAsia" w:ascii="宋体" w:hAnsi="宋体" w:cs="宋体"/>
                <w:b/>
                <w:bCs/>
                <w:kern w:val="0"/>
              </w:rPr>
              <w:t>标（单位）</w:t>
            </w:r>
          </w:p>
        </w:tc>
        <w:tc>
          <w:tcPr>
            <w:tcW w:w="1119" w:type="dxa"/>
            <w:tcBorders>
              <w:top w:val="single" w:color="auto" w:sz="8"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2009年</w:t>
            </w:r>
          </w:p>
        </w:tc>
        <w:tc>
          <w:tcPr>
            <w:tcW w:w="1170" w:type="dxa"/>
            <w:tcBorders>
              <w:top w:val="single" w:color="auto" w:sz="8"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2012年</w:t>
            </w:r>
          </w:p>
        </w:tc>
        <w:tc>
          <w:tcPr>
            <w:tcW w:w="1170" w:type="dxa"/>
            <w:tcBorders>
              <w:top w:val="single" w:color="auto" w:sz="8"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2015年</w:t>
            </w:r>
          </w:p>
        </w:tc>
        <w:tc>
          <w:tcPr>
            <w:tcW w:w="1170" w:type="dxa"/>
            <w:tcBorders>
              <w:top w:val="single" w:color="auto" w:sz="8"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2020年</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1</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学前三年教育毛入园率（%）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90.4</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92以上</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95以上</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99以上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2</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义务教育阶段毛入学率（%）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3</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残疾儿童义务教育阶段入学率（%）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83</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97</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98</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99以上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4</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高中教育阶段毛入学率（%）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5</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高等教育毛入学率（%）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44.5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60以上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6</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普通高等学校在校生中留学生比例（%）</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2</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3</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7</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中小学校与境外学校、教育机构建立友好合作关系比例（%）</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25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30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40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50以上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8</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义务教育专任教师中本科及以上学历人员比例（%）</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57.5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65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75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95以上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9</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中小学建网学校比例（%）</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58</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65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80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100</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10</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新增劳动力人均受教育年限（年）</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12.8</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13.5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14</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15以上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11</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主要劳动年龄人口平均受教育年限（年）</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11</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12</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12以上</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12</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从业人员继续教育参与率（%）</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63</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65</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70</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80</w:t>
            </w:r>
          </w:p>
        </w:tc>
      </w:tr>
      <w:tr>
        <w:tblPrEx>
          <w:tblLayout w:type="fixed"/>
          <w:tblCellMar>
            <w:top w:w="0" w:type="dxa"/>
            <w:left w:w="0" w:type="dxa"/>
            <w:bottom w:w="0" w:type="dxa"/>
            <w:right w:w="0" w:type="dxa"/>
          </w:tblCellMar>
        </w:tblPrEx>
        <w:trPr>
          <w:trHeight w:val="340" w:hRule="atLeast"/>
        </w:trPr>
        <w:tc>
          <w:tcPr>
            <w:tcW w:w="675" w:type="dxa"/>
            <w:tcBorders>
              <w:top w:val="outset" w:color="auto" w:sz="6"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b/>
                <w:bCs/>
                <w:kern w:val="0"/>
              </w:rPr>
              <w:t>13</w:t>
            </w:r>
          </w:p>
        </w:tc>
        <w:tc>
          <w:tcPr>
            <w:tcW w:w="3686"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财政教育拨款占财政总支出比例(%)</w:t>
            </w:r>
          </w:p>
        </w:tc>
        <w:tc>
          <w:tcPr>
            <w:tcW w:w="1119"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19.2</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22</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24</w:t>
            </w:r>
          </w:p>
        </w:tc>
        <w:tc>
          <w:tcPr>
            <w:tcW w:w="1170" w:type="dxa"/>
            <w:tcBorders>
              <w:top w:val="outset" w:color="auto" w:sz="6" w:space="0"/>
              <w:left w:val="outset" w:color="auto" w:sz="6" w:space="0"/>
              <w:bottom w:val="single" w:color="auto" w:sz="8" w:space="0"/>
              <w:right w:val="single" w:color="auto" w:sz="8" w:space="0"/>
            </w:tcBorders>
            <w:tcMar>
              <w:top w:w="0" w:type="dxa"/>
              <w:left w:w="108" w:type="dxa"/>
              <w:bottom w:w="0" w:type="dxa"/>
              <w:right w:w="108" w:type="dxa"/>
            </w:tcMar>
            <w:vAlign w:val="center"/>
          </w:tcPr>
          <w:p>
            <w:pPr>
              <w:widowControl/>
              <w:jc w:val="center"/>
              <w:rPr>
                <w:rFonts w:ascii="宋体" w:hAnsi="宋体" w:cs="宋体"/>
                <w:kern w:val="0"/>
                <w:szCs w:val="18"/>
              </w:rPr>
            </w:pPr>
            <w:r>
              <w:rPr>
                <w:rFonts w:hint="eastAsia" w:ascii="宋体" w:hAnsi="宋体" w:cs="宋体"/>
                <w:kern w:val="0"/>
                <w:szCs w:val="18"/>
              </w:rPr>
              <w:t>25以上</w:t>
            </w:r>
          </w:p>
        </w:tc>
      </w:tr>
    </w:tbl>
    <w:p>
      <w:pPr>
        <w:spacing w:line="360" w:lineRule="auto"/>
        <w:ind w:firstLine="480" w:firstLineChars="200"/>
        <w:rPr>
          <w:rFonts w:ascii="宋体" w:hAnsi="宋体"/>
          <w:color w:val="auto"/>
          <w:sz w:val="24"/>
          <w:highlight w:val="none"/>
          <w:shd w:val="clear" w:color="auto" w:fill="auto"/>
        </w:rPr>
      </w:pPr>
      <w:r>
        <w:rPr>
          <w:rFonts w:hint="eastAsia" w:ascii="宋体" w:hAnsi="宋体"/>
          <w:color w:val="auto"/>
          <w:sz w:val="24"/>
          <w:highlight w:val="none"/>
          <w:shd w:val="clear" w:color="auto" w:fill="auto"/>
        </w:rPr>
        <w:t>知识是人类社会发展的原动力，而教育是人类获得知识的本源。当今社会是一个知识经济型社会，知识和拥有知识的人才是未来经济增长最宝贵的战略资源，教育与科教已经成为经济和社会发展的引擎。</w:t>
      </w:r>
    </w:p>
    <w:p>
      <w:pPr>
        <w:spacing w:line="360" w:lineRule="auto"/>
        <w:ind w:firstLine="480" w:firstLineChars="200"/>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初级中学教育是基础教育的重要组成部分，初级中学的建设是珠海教育事业发展的一个难得的契机。办好初级中学教育，对提高珠海人口素质、缓解珠海本地人才的短缺起到不可忽视的作用。该项目的建设为此提供了物质条件。</w:t>
      </w:r>
    </w:p>
    <w:p>
      <w:pPr>
        <w:spacing w:line="360" w:lineRule="auto"/>
        <w:ind w:firstLine="480" w:firstLineChars="200"/>
        <w:rPr>
          <w:rFonts w:ascii="宋体" w:hAnsi="宋体"/>
          <w:color w:val="auto"/>
          <w:sz w:val="24"/>
          <w:szCs w:val="28"/>
          <w:highlight w:val="none"/>
          <w:shd w:val="clear" w:color="auto" w:fill="auto"/>
        </w:rPr>
      </w:pPr>
      <w:r>
        <w:rPr>
          <w:rFonts w:hint="eastAsia" w:ascii="宋体" w:hAnsi="宋体"/>
          <w:color w:val="auto"/>
          <w:sz w:val="24"/>
          <w:highlight w:val="none"/>
          <w:shd w:val="clear" w:color="auto" w:fill="auto"/>
        </w:rPr>
        <w:t>随着珠海经济社会的快速发展，居住人数逐年增多，中小学适龄学生人数以每年 2-3 个班的速度增长。随着国家二胎政策的开放，该片区学位紧张的情况势必加剧。为进一步改善学校办学条件，增加学位数量，满足平沙镇人民群众逐年提高的学位需求，结合平沙镇学校学位的实际情况，将珠海汇华实验学校建设纳入近三年教育建设计划。该项目按计划建成投入使用后，班数将有 36 个教学班+6个活动教室，可以较好地解决目前平沙区域学位短缺的问题。</w:t>
      </w:r>
    </w:p>
    <w:p>
      <w:pPr>
        <w:spacing w:line="360" w:lineRule="auto"/>
        <w:ind w:firstLine="480" w:firstLineChars="200"/>
        <w:rPr>
          <w:rFonts w:ascii="宋体" w:hAnsi="宋体"/>
          <w:b/>
          <w:sz w:val="24"/>
        </w:rPr>
      </w:pPr>
      <w:r>
        <w:rPr>
          <w:rFonts w:hint="eastAsia" w:ascii="宋体" w:hAnsi="宋体"/>
          <w:sz w:val="24"/>
          <w:szCs w:val="28"/>
        </w:rPr>
        <w:t>本项目珠海汇华实验学校作为珠海市基础义务教育发展的一部分，将有助于实现珠海市中长期教育改革和发展规划的目标。</w:t>
      </w:r>
    </w:p>
    <w:p>
      <w:pPr>
        <w:pStyle w:val="3"/>
      </w:pPr>
      <w:bookmarkStart w:id="31" w:name="_Toc509586051"/>
      <w:bookmarkStart w:id="32" w:name="_Toc515980389"/>
      <w:r>
        <w:rPr>
          <w:rFonts w:hint="eastAsia"/>
        </w:rPr>
        <w:t>3.2  项目建设是加强当前的建设，促进区域社会经济长远稳定健康发展的需要</w:t>
      </w:r>
      <w:bookmarkEnd w:id="31"/>
      <w:bookmarkEnd w:id="32"/>
    </w:p>
    <w:p>
      <w:pPr>
        <w:spacing w:line="360" w:lineRule="auto"/>
        <w:ind w:firstLine="480" w:firstLineChars="200"/>
        <w:rPr>
          <w:rFonts w:hint="eastAsia" w:ascii="宋体" w:hAnsi="宋体"/>
          <w:color w:val="000000"/>
          <w:sz w:val="24"/>
          <w:highlight w:val="none"/>
        </w:rPr>
      </w:pPr>
      <w:r>
        <w:rPr>
          <w:rFonts w:hint="eastAsia" w:ascii="宋体" w:hAnsi="宋体"/>
          <w:sz w:val="24"/>
          <w:highlight w:val="none"/>
        </w:rPr>
        <w:t>近年来，高栏港区大力实施“科教兴区”、“人才强区”战略，牢固坚持“教育优先发展”方针，把“办好人民满意的高栏港教育”作为不懈追求，从2009-2014年，先后投入12.2亿元，强势推进教育现代化建设，引领各类教育在“均衡、优质、协调、特色、跨越”的轨道上快速发展。</w:t>
      </w:r>
      <w:r>
        <w:rPr>
          <w:rFonts w:hint="eastAsia" w:asciiTheme="minorEastAsia" w:hAnsiTheme="minorEastAsia" w:eastAsiaTheme="minorEastAsia"/>
          <w:sz w:val="24"/>
          <w:highlight w:val="none"/>
        </w:rPr>
        <w:t>近年生源逐年增多，</w:t>
      </w:r>
      <w:r>
        <w:rPr>
          <w:rFonts w:hint="eastAsia" w:ascii="宋体" w:hAnsi="宋体"/>
          <w:color w:val="000000"/>
          <w:sz w:val="24"/>
          <w:highlight w:val="none"/>
        </w:rPr>
        <w:t>《珠海市中长期教育改革和发展纲要（2010-2020 年））中提出：“健全城乡一体化教育发展机制。实行全市城乡统一的义务教育学校建设标准、教职员编制标准、教职员工资标准和公用经费标准，以满足常住人口子女就近入学为目标，合理规划义务教育学校建设，实行教师配置、经费拨付、学位分配城乡一体化。” 平沙镇区域内各小区开发已极具规模，人口及外来人口每年增量递增，但在近几年的投入中，在该区域内新建的义务教育阶段学校较少，教育设施的配套明显滞后于城市发展步伐。现有义务教育阶段学校的办学规模已不能适应该区域学生就学的需要，都出现了班额过大、学位紧缺等种种问题，学生上学难。因此，项目建设是满足常住人口子女就近入学为目标，落实合理规划义务教育学校建设，合理配置教育资源，化解班级学生人数超额矛盾的需要。</w:t>
      </w:r>
    </w:p>
    <w:p>
      <w:pPr>
        <w:spacing w:line="360" w:lineRule="auto"/>
        <w:ind w:firstLine="480" w:firstLineChars="200"/>
        <w:rPr>
          <w:rFonts w:ascii="宋体" w:hAnsi="宋体"/>
          <w:b w:val="0"/>
          <w:bCs/>
          <w:sz w:val="24"/>
          <w:szCs w:val="28"/>
        </w:rPr>
      </w:pPr>
      <w:r>
        <w:rPr>
          <w:rFonts w:hint="eastAsia" w:ascii="宋体" w:hAnsi="宋体"/>
          <w:b w:val="0"/>
          <w:bCs/>
          <w:sz w:val="24"/>
          <w:szCs w:val="28"/>
        </w:rPr>
        <w:t>综上所述，本项目的建设是珠海市中长期教育改革和发展规划的需要，</w:t>
      </w:r>
      <w:r>
        <w:rPr>
          <w:rFonts w:hint="eastAsia" w:ascii="宋体" w:hAnsi="宋体"/>
          <w:b w:val="0"/>
          <w:bCs/>
          <w:sz w:val="24"/>
        </w:rPr>
        <w:t>是促进高栏港区义务教育事业的健康发展的客观要求也是为解决办学的迫切需要</w:t>
      </w:r>
      <w:r>
        <w:rPr>
          <w:rFonts w:hint="eastAsia" w:ascii="宋体" w:hAnsi="宋体"/>
          <w:b w:val="0"/>
          <w:bCs/>
          <w:sz w:val="24"/>
          <w:szCs w:val="28"/>
        </w:rPr>
        <w:t>。因此，本项目的建设是十分必要的，也是十分迫切的。</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33" w:name="_Toc515980390"/>
      <w:r>
        <w:rPr>
          <w:rFonts w:hint="eastAsia" w:ascii="宋体" w:hAnsi="宋体"/>
          <w:bCs w:val="0"/>
          <w:kern w:val="2"/>
          <w:sz w:val="36"/>
        </w:rPr>
        <w:t>第四章  建设场址及建设条件</w:t>
      </w:r>
      <w:bookmarkEnd w:id="33"/>
    </w:p>
    <w:p>
      <w:pPr>
        <w:pStyle w:val="3"/>
      </w:pPr>
      <w:bookmarkStart w:id="34" w:name="_Toc509586052"/>
      <w:bookmarkStart w:id="35" w:name="_Toc515980391"/>
      <w:r>
        <w:rPr>
          <w:rFonts w:hint="eastAsia"/>
        </w:rPr>
        <w:t>4.1场址概况</w:t>
      </w:r>
      <w:bookmarkEnd w:id="34"/>
      <w:bookmarkEnd w:id="35"/>
    </w:p>
    <w:p>
      <w:pPr>
        <w:spacing w:line="500" w:lineRule="exact"/>
        <w:ind w:firstLine="480" w:firstLineChars="200"/>
        <w:rPr>
          <w:rFonts w:asciiTheme="minorEastAsia" w:hAnsiTheme="minorEastAsia" w:eastAsiaTheme="minorEastAsia"/>
          <w:sz w:val="24"/>
        </w:rPr>
      </w:pPr>
      <w:r>
        <w:rPr>
          <w:rFonts w:hint="eastAsia" w:ascii="宋体" w:hAnsi="宋体"/>
          <w:sz w:val="24"/>
          <w:szCs w:val="28"/>
        </w:rPr>
        <w:t>珠海</w:t>
      </w:r>
      <w:r>
        <w:rPr>
          <w:rFonts w:hint="eastAsia" w:asciiTheme="minorEastAsia" w:hAnsiTheme="minorEastAsia" w:eastAsiaTheme="minorEastAsia"/>
          <w:sz w:val="24"/>
        </w:rPr>
        <w:t>汇华实验学校用地位于珠海市平沙镇庆平路南侧，占地面积约32000平方米，总建筑面积约37629平方米，其中地上面积约32629平方米，包括综合行政实验楼7556平方米，教学楼12291平方米，文体馆4928平方米等。宿舍约7854平方米。地下一层，建筑面积约5000平方米，用于停车及设备用房。项目拟在本处新建，项目具体位置示意图如下所示：</w:t>
      </w:r>
    </w:p>
    <w:p>
      <w:pPr>
        <w:spacing w:line="420" w:lineRule="auto"/>
        <w:ind w:left="102" w:right="102"/>
        <w:rPr>
          <w:rFonts w:ascii="宋体" w:hAnsi="宋体"/>
          <w:sz w:val="24"/>
          <w:szCs w:val="28"/>
        </w:rPr>
      </w:pPr>
      <w:r>
        <w:rPr>
          <w:rFonts w:ascii="宋体" w:hAnsi="宋体"/>
          <w:bCs/>
          <w:sz w:val="36"/>
        </w:rPr>
        <w:pict>
          <v:shape id="AutoShape 2" o:spid="_x0000_s1085" o:spt="61" type="#_x0000_t61" style="position:absolute;left:0pt;margin-left:169.3pt;margin-top:177.2pt;height:23.55pt;width:113.05pt;z-index:251685888;mso-width-relative:page;mso-height-relative:page;" coordsize="21600,21600" adj="-16862,43888">
            <v:path/>
            <v:fill focussize="0,0"/>
            <v:stroke weight="0.25pt" joinstyle="miter"/>
            <v:imagedata o:title=""/>
            <o:lock v:ext="edit"/>
            <v:textbox>
              <w:txbxContent>
                <w:p>
                  <w:pPr>
                    <w:jc w:val="center"/>
                    <w:rPr>
                      <w:b/>
                    </w:rPr>
                  </w:pPr>
                  <w:r>
                    <w:rPr>
                      <w:b/>
                    </w:rPr>
                    <w:t>平沙汇华实验学校</w:t>
                  </w:r>
                </w:p>
              </w:txbxContent>
            </v:textbox>
          </v:shape>
        </w:pict>
      </w:r>
      <w:r>
        <w:rPr>
          <w:rFonts w:ascii="宋体" w:hAnsi="宋体"/>
          <w:bCs/>
          <w:sz w:val="36"/>
        </w:rPr>
        <w:pict>
          <v:shape id="Oval 15" o:spid="_x0000_s1084" o:spt="3" type="#_x0000_t3" style="position:absolute;left:0pt;margin-left:76.05pt;margin-top:219.6pt;height:9.4pt;width:9.65pt;z-index:251684864;mso-width-relative:page;mso-height-relative:page;" fillcolor="#C0504D" filled="t" stroked="t" coordsize="21600,21600">
            <v:path/>
            <v:fill on="t" focussize="0,0"/>
            <v:stroke weight="10pt" color="#C0504D" linestyle="thinThin" joinstyle="miter"/>
            <v:imagedata o:title=""/>
            <o:lock v:ext="edit"/>
          </v:shape>
        </w:pict>
      </w:r>
      <w:r>
        <w:rPr>
          <w:rFonts w:ascii="仿宋_GB2312" w:hAnsi="仿宋_GB2312" w:eastAsia="仿宋_GB2312" w:cs="仿宋_GB2312"/>
          <w:sz w:val="28"/>
          <w:szCs w:val="28"/>
        </w:rPr>
        <w:drawing>
          <wp:inline distT="0" distB="0" distL="0" distR="0">
            <wp:extent cx="5672455" cy="4013835"/>
            <wp:effectExtent l="19050" t="0" r="4251" b="0"/>
            <wp:docPr id="3" name="图片 2" descr="C:\Users\clz\Desktop\~PQ4}4)FLBHBD]7_M53TR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clz\Desktop\~PQ4}4)FLBHBD]7_M53TRWY.png"/>
                    <pic:cNvPicPr>
                      <a:picLocks noChangeAspect="1" noChangeArrowheads="1"/>
                    </pic:cNvPicPr>
                  </pic:nvPicPr>
                  <pic:blipFill>
                    <a:blip r:embed="rId16"/>
                    <a:srcRect/>
                    <a:stretch>
                      <a:fillRect/>
                    </a:stretch>
                  </pic:blipFill>
                  <pic:spPr>
                    <a:xfrm>
                      <a:off x="0" y="0"/>
                      <a:ext cx="5680176" cy="4019186"/>
                    </a:xfrm>
                    <a:prstGeom prst="rect">
                      <a:avLst/>
                    </a:prstGeom>
                    <a:noFill/>
                    <a:ln w="9525" cmpd="sng">
                      <a:noFill/>
                      <a:miter lim="800000"/>
                      <a:headEnd/>
                      <a:tailEnd/>
                    </a:ln>
                  </pic:spPr>
                </pic:pic>
              </a:graphicData>
            </a:graphic>
          </wp:inline>
        </w:drawing>
      </w:r>
    </w:p>
    <w:p>
      <w:pPr>
        <w:spacing w:line="420" w:lineRule="auto"/>
        <w:ind w:left="102" w:right="102"/>
        <w:rPr>
          <w:rFonts w:ascii="宋体" w:hAnsi="宋体"/>
          <w:sz w:val="24"/>
          <w:szCs w:val="28"/>
        </w:rPr>
      </w:pPr>
      <w:r>
        <w:rPr>
          <w:rFonts w:ascii="宋体" w:hAnsi="宋体" w:cs="宋体"/>
          <w:kern w:val="0"/>
          <w:sz w:val="24"/>
        </w:rPr>
        <w:pict>
          <v:shape id="自选图形 2" o:spid="_x0000_s1086" o:spt="48" type="#_x0000_t48" style="position:absolute;left:0pt;margin-left:359.2pt;margin-top:6.05pt;height:24.75pt;width:61.5pt;z-index:251686912;v-text-anchor:middle;mso-width-relative:page;mso-height-relative:page;" filled="f" stroked="t" coordsize="21600,21600" adj="-65520,133484,-4162,7855,-2107,7855">
            <v:path arrowok="t"/>
            <v:fill on="f" focussize="0,0"/>
            <v:stroke weight="1pt" color="#002060" joinstyle="miter"/>
            <v:imagedata o:title=""/>
            <o:lock v:ext="edit"/>
            <v:textbox>
              <w:txbxContent>
                <w:p>
                  <w:pPr>
                    <w:jc w:val="center"/>
                    <w:rPr>
                      <w:b/>
                      <w:bCs/>
                    </w:rPr>
                  </w:pPr>
                  <w:r>
                    <w:rPr>
                      <w:rFonts w:hint="eastAsia"/>
                      <w:b/>
                      <w:bCs/>
                    </w:rPr>
                    <w:t>项目选址</w:t>
                  </w:r>
                </w:p>
                <w:p/>
              </w:txbxContent>
            </v:textbox>
          </v:shape>
        </w:pict>
      </w:r>
      <w:r>
        <w:rPr>
          <w:rFonts w:ascii="宋体" w:hAnsi="宋体" w:cs="宋体"/>
          <w:kern w:val="0"/>
          <w:sz w:val="24"/>
        </w:rPr>
        <w:drawing>
          <wp:inline distT="0" distB="0" distL="0" distR="0">
            <wp:extent cx="5676900" cy="4258310"/>
            <wp:effectExtent l="19050" t="0" r="0" b="0"/>
            <wp:docPr id="4" name="图片 4" descr="C:\Users\clz\Desktop\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lz\Desktop\IMG_1706.JPG"/>
                    <pic:cNvPicPr>
                      <a:picLocks noChangeAspect="1" noChangeArrowheads="1"/>
                    </pic:cNvPicPr>
                  </pic:nvPicPr>
                  <pic:blipFill>
                    <a:blip r:embed="rId17"/>
                    <a:srcRect/>
                    <a:stretch>
                      <a:fillRect/>
                    </a:stretch>
                  </pic:blipFill>
                  <pic:spPr>
                    <a:xfrm>
                      <a:off x="0" y="0"/>
                      <a:ext cx="5677722" cy="4258805"/>
                    </a:xfrm>
                    <a:prstGeom prst="rect">
                      <a:avLst/>
                    </a:prstGeom>
                    <a:noFill/>
                    <a:ln w="9525" cmpd="sng">
                      <a:noFill/>
                      <a:miter lim="800000"/>
                      <a:headEnd/>
                      <a:tailEnd/>
                    </a:ln>
                  </pic:spPr>
                </pic:pic>
              </a:graphicData>
            </a:graphic>
          </wp:inline>
        </w:drawing>
      </w:r>
    </w:p>
    <w:p>
      <w:pPr>
        <w:pStyle w:val="3"/>
      </w:pPr>
      <w:bookmarkStart w:id="36" w:name="_Toc515980392"/>
      <w:bookmarkStart w:id="37" w:name="_Toc509586053"/>
      <w:r>
        <w:rPr>
          <w:rFonts w:hint="eastAsia"/>
        </w:rPr>
        <w:t>4.2 自然条件</w:t>
      </w:r>
      <w:bookmarkEnd w:id="36"/>
    </w:p>
    <w:p>
      <w:pPr>
        <w:pStyle w:val="7"/>
        <w:spacing w:line="600" w:lineRule="exact"/>
        <w:ind w:left="-97" w:leftChars="-4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、地形、地貌</w:t>
      </w:r>
    </w:p>
    <w:p>
      <w:pPr>
        <w:pStyle w:val="7"/>
        <w:spacing w:line="360" w:lineRule="auto"/>
        <w:ind w:left="-97" w:leftChars="-46" w:firstLine="480" w:firstLineChars="200"/>
        <w:rPr>
          <w:rFonts w:asciiTheme="minorEastAsia" w:hAnsiTheme="minorEastAsia" w:eastAsiaTheme="minorEastAsia"/>
          <w:sz w:val="24"/>
        </w:rPr>
      </w:pPr>
      <w:r>
        <w:rPr>
          <w:rFonts w:hint="eastAsia" w:asciiTheme="minorEastAsia" w:hAnsiTheme="minorEastAsia" w:eastAsiaTheme="minorEastAsia"/>
          <w:sz w:val="24"/>
        </w:rPr>
        <w:t>场地的原始地貌单元为属海陆交互相沉积地貌单元，</w:t>
      </w:r>
      <w:r>
        <w:rPr>
          <w:rFonts w:hint="eastAsia" w:asciiTheme="minorEastAsia" w:hAnsiTheme="minorEastAsia" w:eastAsiaTheme="minorEastAsia"/>
          <w:spacing w:val="4"/>
          <w:sz w:val="24"/>
        </w:rPr>
        <w:t>位于珠海市平沙镇，紧邻多条市政交通要道，交通十分便利。</w:t>
      </w:r>
    </w:p>
    <w:p>
      <w:pPr>
        <w:pStyle w:val="7"/>
        <w:spacing w:line="600" w:lineRule="exact"/>
        <w:ind w:left="-97" w:leftChars="-4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、气象条件</w:t>
      </w:r>
    </w:p>
    <w:p>
      <w:pPr>
        <w:pStyle w:val="7"/>
        <w:spacing w:line="360" w:lineRule="auto"/>
        <w:ind w:left="-97" w:leftChars="-46" w:firstLine="480" w:firstLineChars="200"/>
        <w:rPr>
          <w:rFonts w:asciiTheme="minorEastAsia" w:hAnsiTheme="minorEastAsia" w:eastAsiaTheme="minorEastAsia"/>
          <w:sz w:val="24"/>
        </w:rPr>
      </w:pPr>
      <w:r>
        <w:rPr>
          <w:rFonts w:asciiTheme="minorEastAsia" w:hAnsiTheme="minorEastAsia" w:eastAsiaTheme="minorEastAsia"/>
          <w:sz w:val="24"/>
        </w:rPr>
        <w:t>根据广东省标准《建筑气象参数标准》（DBJ15-1-90），珠海市位于珠江口伶仃洋西岸，区域气候属亚热带海洋性气候。年平均气温22.4℃，因受海洋影响，气温年平均日较差很小，仅有5.3℃。无冬季天气，终年气温在0℃以上，极端最低气温为2.5℃。自4月中旬至11月上旬为夏季，长达半年。年降雨日为137.2天，年平均降雨量为1993.70mm，其中5～9月降水集中，降雨量合计为年降雨量的77%。5、6、8月各月降水量均大于300mm，6月降雨量最多，达361.9mm。夏季多受台风影响，易出现暴雨、大风天气，年暴雨日为10.5天，4～10月暴雨日数合计为年总数的97%。年大风日数为8.8天，4～10月大风日数合计为8.1天，期间最多的7月份，有2.5天，其次为9月份，有1.9天（1983年9月6日，珠海受台风袭击，8级大风长达8小时，12级大风长达5小时）。年平均风速为3.3m/s，12～2月各月风速较小，皆不足3.0m/s，以7月份平均风速为最大，达3.7m/s。全年静风频率最高，其次为东南风和东南偏南风。9～2月以东北风和北风为主，3～8月东南风、西南风及南风较多。全年阴天日数为190.3天。年日照百分率为45%，2～4月较低，皆小于30%，7～12月较高，均大于50%，7月最高，为57%。年平均雷暴日数为64.2天，将近85%的雷暴天气出现在5～9月份，其中8月雷暴日数最多，有13.1天。</w:t>
      </w:r>
    </w:p>
    <w:p>
      <w:pPr>
        <w:pStyle w:val="7"/>
        <w:spacing w:line="600" w:lineRule="exact"/>
        <w:ind w:left="-97" w:leftChars="-46"/>
        <w:rPr>
          <w:rFonts w:asciiTheme="minorEastAsia" w:hAnsiTheme="minorEastAsia" w:eastAsiaTheme="minorEastAsia"/>
          <w:sz w:val="24"/>
        </w:rPr>
      </w:pPr>
      <w:r>
        <w:rPr>
          <w:rFonts w:hint="eastAsia" w:asciiTheme="minorEastAsia" w:hAnsiTheme="minorEastAsia" w:eastAsiaTheme="minorEastAsia"/>
          <w:sz w:val="24"/>
        </w:rPr>
        <w:t>3、区域地质构造</w:t>
      </w:r>
    </w:p>
    <w:p>
      <w:pPr>
        <w:pStyle w:val="7"/>
        <w:spacing w:line="360" w:lineRule="auto"/>
        <w:ind w:left="-97" w:leftChars="-46" w:firstLine="480" w:firstLineChars="200"/>
        <w:rPr>
          <w:rFonts w:asciiTheme="minorEastAsia" w:hAnsiTheme="minorEastAsia" w:eastAsiaTheme="minorEastAsia"/>
          <w:sz w:val="24"/>
        </w:rPr>
      </w:pPr>
      <w:r>
        <w:rPr>
          <w:rFonts w:hint="eastAsia" w:asciiTheme="minorEastAsia" w:hAnsiTheme="minorEastAsia" w:eastAsiaTheme="minorEastAsia"/>
          <w:sz w:val="24"/>
        </w:rPr>
        <w:t>珠海市地处珠江三角洲的中南部，珠江口的西岸。在大地构造上为中国东部新华夏系第二隆起带与南岭纬向构造带的复合部位，也是华夏地向斜的东南延伸部分。断裂总体走向北东</w:t>
      </w:r>
      <w:r>
        <w:rPr>
          <w:rFonts w:asciiTheme="minorEastAsia" w:hAnsiTheme="minorEastAsia" w:eastAsiaTheme="minorEastAsia"/>
          <w:sz w:val="24"/>
        </w:rPr>
        <w:t>60～70</w:t>
      </w:r>
      <w:r>
        <w:rPr>
          <w:rFonts w:hint="eastAsia" w:asciiTheme="minorEastAsia" w:hAnsiTheme="minorEastAsia" w:eastAsiaTheme="minorEastAsia"/>
          <w:sz w:val="24"/>
        </w:rPr>
        <w:sym w:font="Symbol" w:char="F0B0"/>
      </w:r>
      <w:r>
        <w:rPr>
          <w:rFonts w:hint="eastAsia" w:asciiTheme="minorEastAsia" w:hAnsiTheme="minorEastAsia" w:eastAsiaTheme="minorEastAsia"/>
          <w:sz w:val="24"/>
        </w:rPr>
        <w:t>，倾向北西。断裂可分为东北段和西南断裂，南屏以东为断裂的东北段，以西为西南段。</w:t>
      </w:r>
    </w:p>
    <w:p>
      <w:pPr>
        <w:pStyle w:val="7"/>
        <w:spacing w:line="360" w:lineRule="auto"/>
        <w:ind w:left="-97" w:leftChars="-46" w:firstLine="480" w:firstLineChars="200"/>
        <w:rPr>
          <w:rFonts w:asciiTheme="minorEastAsia" w:hAnsiTheme="minorEastAsia" w:eastAsiaTheme="minorEastAsia"/>
          <w:sz w:val="24"/>
        </w:rPr>
      </w:pPr>
      <w:r>
        <w:rPr>
          <w:rFonts w:hint="eastAsia" w:asciiTheme="minorEastAsia" w:hAnsiTheme="minorEastAsia" w:eastAsiaTheme="minorEastAsia"/>
          <w:sz w:val="24"/>
        </w:rPr>
        <w:t>断裂东北段发育于板樟山南山脚至烟墩山北侧一带，但断裂倾角较平缓些，为</w:t>
      </w:r>
      <w:r>
        <w:rPr>
          <w:rFonts w:asciiTheme="minorEastAsia" w:hAnsiTheme="minorEastAsia" w:eastAsiaTheme="minorEastAsia"/>
          <w:sz w:val="24"/>
        </w:rPr>
        <w:t>40～70</w:t>
      </w:r>
      <w:r>
        <w:rPr>
          <w:rFonts w:hint="eastAsia" w:asciiTheme="minorEastAsia" w:hAnsiTheme="minorEastAsia" w:eastAsiaTheme="minorEastAsia"/>
          <w:sz w:val="24"/>
        </w:rPr>
        <w:sym w:font="Symbol" w:char="F0B0"/>
      </w:r>
      <w:r>
        <w:rPr>
          <w:rFonts w:hint="eastAsia" w:asciiTheme="minorEastAsia" w:hAnsiTheme="minorEastAsia" w:eastAsiaTheme="minorEastAsia"/>
          <w:sz w:val="24"/>
        </w:rPr>
        <w:t>，由于属该段人类活动广泛的城市建设区，断裂带大多被掩盖，但局部地段仍可见压碎花岗岩、硅化岩、辉绿岩脉与石英脉等。白沙头南侧发育一条走向北东60～70</w:t>
      </w:r>
      <w:r>
        <w:rPr>
          <w:rFonts w:hint="eastAsia" w:asciiTheme="minorEastAsia" w:hAnsiTheme="minorEastAsia" w:eastAsiaTheme="minorEastAsia"/>
          <w:sz w:val="24"/>
        </w:rPr>
        <w:sym w:font="Symbol" w:char="F0B0"/>
      </w:r>
      <w:r>
        <w:rPr>
          <w:rFonts w:hint="eastAsia" w:asciiTheme="minorEastAsia" w:hAnsiTheme="minorEastAsia" w:eastAsiaTheme="minorEastAsia"/>
          <w:sz w:val="24"/>
        </w:rPr>
        <w:t>，倾向北西，倾角60</w:t>
      </w:r>
      <w:r>
        <w:rPr>
          <w:rFonts w:hint="eastAsia" w:asciiTheme="minorEastAsia" w:hAnsiTheme="minorEastAsia" w:eastAsiaTheme="minorEastAsia"/>
          <w:sz w:val="24"/>
        </w:rPr>
        <w:sym w:font="Symbol" w:char="F0B0"/>
      </w:r>
      <w:r>
        <w:rPr>
          <w:rFonts w:hint="eastAsia" w:asciiTheme="minorEastAsia" w:hAnsiTheme="minorEastAsia" w:eastAsiaTheme="minorEastAsia"/>
          <w:sz w:val="24"/>
        </w:rPr>
        <w:t>的断裂，断裂发育在燕山期花岗岩内，宽约5m，平行断面的石英脉非常发育。断裂带东南侧分布有成条带状的残丘，在断裂带西北侧则为三角洲平原区。</w:t>
      </w:r>
      <w:r>
        <w:rPr>
          <w:rFonts w:asciiTheme="minorEastAsia" w:hAnsiTheme="minorEastAsia" w:eastAsiaTheme="minorEastAsia"/>
          <w:sz w:val="24"/>
        </w:rPr>
        <w:t>根据区域地质资料，</w:t>
      </w:r>
      <w:r>
        <w:rPr>
          <w:rFonts w:hint="eastAsia" w:asciiTheme="minorEastAsia" w:hAnsiTheme="minorEastAsia" w:eastAsiaTheme="minorEastAsia"/>
          <w:sz w:val="24"/>
        </w:rPr>
        <w:t>拟建工程</w:t>
      </w:r>
      <w:r>
        <w:rPr>
          <w:rFonts w:asciiTheme="minorEastAsia" w:hAnsiTheme="minorEastAsia" w:eastAsiaTheme="minorEastAsia"/>
          <w:sz w:val="24"/>
        </w:rPr>
        <w:t>场地未发现有活动性断裂通过</w:t>
      </w:r>
      <w:r>
        <w:rPr>
          <w:rFonts w:hint="eastAsia" w:asciiTheme="minorEastAsia" w:hAnsiTheme="minorEastAsia" w:eastAsiaTheme="minorEastAsia"/>
          <w:sz w:val="24"/>
        </w:rPr>
        <w:t>，</w:t>
      </w:r>
      <w:r>
        <w:rPr>
          <w:rFonts w:asciiTheme="minorEastAsia" w:hAnsiTheme="minorEastAsia" w:eastAsiaTheme="minorEastAsia"/>
          <w:sz w:val="24"/>
        </w:rPr>
        <w:t>场地整体稳定，适宜兴建拟建工程。</w:t>
      </w:r>
    </w:p>
    <w:p>
      <w:pPr>
        <w:pStyle w:val="7"/>
        <w:spacing w:line="600" w:lineRule="exact"/>
        <w:ind w:left="-97" w:leftChars="-46"/>
        <w:rPr>
          <w:rFonts w:asciiTheme="minorEastAsia" w:hAnsiTheme="minorEastAsia" w:eastAsiaTheme="minorEastAsia"/>
          <w:sz w:val="24"/>
        </w:rPr>
      </w:pPr>
      <w:r>
        <w:rPr>
          <w:rFonts w:hint="eastAsia" w:asciiTheme="minorEastAsia" w:hAnsiTheme="minorEastAsia" w:eastAsiaTheme="minorEastAsia"/>
          <w:sz w:val="24"/>
        </w:rPr>
        <w:t>4、工程地质条件</w:t>
      </w:r>
    </w:p>
    <w:p>
      <w:pPr>
        <w:pStyle w:val="7"/>
        <w:spacing w:line="360" w:lineRule="auto"/>
        <w:ind w:left="-97" w:leftChars="-46" w:firstLine="480" w:firstLineChars="200"/>
        <w:rPr>
          <w:rFonts w:asciiTheme="minorEastAsia" w:hAnsiTheme="minorEastAsia" w:eastAsiaTheme="minorEastAsia"/>
          <w:sz w:val="24"/>
        </w:rPr>
      </w:pPr>
      <w:r>
        <w:rPr>
          <w:rFonts w:asciiTheme="minorEastAsia" w:hAnsiTheme="minorEastAsia" w:eastAsiaTheme="minorEastAsia"/>
          <w:sz w:val="24"/>
        </w:rPr>
        <w:t>根据区域地质资料，本场地未发现有活动性断裂通过；结合</w:t>
      </w:r>
      <w:r>
        <w:rPr>
          <w:rFonts w:hint="eastAsia" w:asciiTheme="minorEastAsia" w:hAnsiTheme="minorEastAsia" w:eastAsiaTheme="minorEastAsia"/>
          <w:sz w:val="24"/>
        </w:rPr>
        <w:t>初步</w:t>
      </w:r>
      <w:r>
        <w:rPr>
          <w:rFonts w:asciiTheme="minorEastAsia" w:hAnsiTheme="minorEastAsia" w:eastAsiaTheme="minorEastAsia"/>
          <w:sz w:val="24"/>
        </w:rPr>
        <w:t>勘察成果，场地在勘探深度范围内，未见到影响场地稳定性的其它不良地质作用</w:t>
      </w:r>
      <w:r>
        <w:rPr>
          <w:rFonts w:hint="eastAsia" w:asciiTheme="minorEastAsia" w:hAnsiTheme="minorEastAsia" w:eastAsiaTheme="minorEastAsia"/>
          <w:sz w:val="24"/>
        </w:rPr>
        <w:t>；属于对抗震不利地段，不利影响可以通过工程措施予以消除。</w:t>
      </w:r>
      <w:r>
        <w:rPr>
          <w:rFonts w:asciiTheme="minorEastAsia" w:hAnsiTheme="minorEastAsia" w:eastAsiaTheme="minorEastAsia"/>
          <w:sz w:val="24"/>
        </w:rPr>
        <w:t>场地整体稳定，适宜兴建拟建工程。</w:t>
      </w:r>
    </w:p>
    <w:p>
      <w:pPr>
        <w:pStyle w:val="7"/>
        <w:spacing w:line="360" w:lineRule="auto"/>
        <w:ind w:left="-97" w:leftChars="-46" w:firstLine="480" w:firstLineChars="200"/>
        <w:rPr>
          <w:rFonts w:asciiTheme="minorEastAsia" w:hAnsiTheme="minorEastAsia" w:eastAsiaTheme="minorEastAsia"/>
          <w:sz w:val="24"/>
        </w:rPr>
      </w:pPr>
      <w:r>
        <w:rPr>
          <w:rFonts w:hint="eastAsia" w:asciiTheme="minorEastAsia" w:hAnsiTheme="minorEastAsia" w:eastAsiaTheme="minorEastAsia"/>
          <w:kern w:val="0"/>
          <w:sz w:val="24"/>
        </w:rPr>
        <w:t>同时，根据初步勘察，</w:t>
      </w:r>
      <w:r>
        <w:rPr>
          <w:rFonts w:asciiTheme="minorEastAsia" w:hAnsiTheme="minorEastAsia" w:eastAsiaTheme="minorEastAsia"/>
          <w:sz w:val="24"/>
        </w:rPr>
        <w:t>场地地貌单一，地层结构</w:t>
      </w:r>
      <w:r>
        <w:rPr>
          <w:rFonts w:asciiTheme="minorEastAsia" w:hAnsiTheme="minorEastAsia" w:eastAsiaTheme="minorEastAsia"/>
          <w:bCs/>
          <w:sz w:val="24"/>
        </w:rPr>
        <w:t>相对简单，处于中等复杂</w:t>
      </w:r>
      <w:r>
        <w:rPr>
          <w:rFonts w:asciiTheme="minorEastAsia" w:hAnsiTheme="minorEastAsia" w:eastAsiaTheme="minorEastAsia"/>
          <w:sz w:val="24"/>
        </w:rPr>
        <w:t>，</w:t>
      </w:r>
      <w:r>
        <w:rPr>
          <w:rFonts w:hint="eastAsia" w:asciiTheme="minorEastAsia" w:hAnsiTheme="minorEastAsia" w:eastAsiaTheme="minorEastAsia"/>
          <w:kern w:val="0"/>
          <w:sz w:val="24"/>
        </w:rPr>
        <w:t>场地</w:t>
      </w:r>
      <w:r>
        <w:rPr>
          <w:rFonts w:asciiTheme="minorEastAsia" w:hAnsiTheme="minorEastAsia" w:eastAsiaTheme="minorEastAsia"/>
          <w:kern w:val="0"/>
          <w:sz w:val="24"/>
        </w:rPr>
        <w:t>地基土</w:t>
      </w:r>
      <w:r>
        <w:rPr>
          <w:rFonts w:hint="eastAsia" w:asciiTheme="minorEastAsia" w:hAnsiTheme="minorEastAsia" w:eastAsiaTheme="minorEastAsia"/>
          <w:kern w:val="0"/>
          <w:sz w:val="24"/>
        </w:rPr>
        <w:t>为不均匀地基，需进行相关的技术处理，以便满足设计要求。</w:t>
      </w:r>
    </w:p>
    <w:p>
      <w:pPr>
        <w:spacing w:line="598" w:lineRule="exact"/>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2地震效应</w:t>
      </w:r>
    </w:p>
    <w:p>
      <w:pPr>
        <w:pStyle w:val="7"/>
        <w:spacing w:line="360" w:lineRule="auto"/>
        <w:ind w:left="-97" w:leftChars="-46" w:firstLine="480" w:firstLineChars="200"/>
        <w:rPr>
          <w:rFonts w:asciiTheme="minorEastAsia" w:hAnsiTheme="minorEastAsia" w:eastAsiaTheme="minorEastAsia"/>
          <w:sz w:val="24"/>
        </w:rPr>
      </w:pPr>
      <w:r>
        <w:rPr>
          <w:rFonts w:asciiTheme="minorEastAsia" w:hAnsiTheme="minorEastAsia" w:eastAsiaTheme="minorEastAsia"/>
          <w:sz w:val="24"/>
        </w:rPr>
        <w:t>根据《中国地震烈度区划图》GB18306-20</w:t>
      </w:r>
      <w:r>
        <w:rPr>
          <w:rFonts w:hint="eastAsia" w:asciiTheme="minorEastAsia" w:hAnsiTheme="minorEastAsia" w:eastAsiaTheme="minorEastAsia"/>
          <w:sz w:val="24"/>
        </w:rPr>
        <w:t>15</w:t>
      </w:r>
      <w:r>
        <w:rPr>
          <w:rFonts w:asciiTheme="minorEastAsia" w:hAnsiTheme="minorEastAsia" w:eastAsiaTheme="minorEastAsia"/>
          <w:sz w:val="24"/>
        </w:rPr>
        <w:t>，珠海地区抗震设防烈度为</w:t>
      </w:r>
      <w:r>
        <w:rPr>
          <w:rFonts w:hint="eastAsia" w:asciiTheme="minorEastAsia" w:hAnsiTheme="minorEastAsia" w:eastAsiaTheme="minorEastAsia"/>
          <w:sz w:val="24"/>
        </w:rPr>
        <w:t>7</w:t>
      </w:r>
      <w:r>
        <w:rPr>
          <w:rFonts w:asciiTheme="minorEastAsia" w:hAnsiTheme="minorEastAsia" w:eastAsiaTheme="minorEastAsia"/>
          <w:sz w:val="24"/>
        </w:rPr>
        <w:t>度，</w:t>
      </w:r>
      <w:r>
        <w:rPr>
          <w:rFonts w:hint="eastAsia" w:asciiTheme="minorEastAsia" w:hAnsiTheme="minorEastAsia" w:eastAsiaTheme="minorEastAsia"/>
          <w:sz w:val="24"/>
        </w:rPr>
        <w:t>拟建工程位于珠海市平沙镇，</w:t>
      </w:r>
      <w:r>
        <w:rPr>
          <w:rFonts w:asciiTheme="minorEastAsia" w:hAnsiTheme="minorEastAsia" w:eastAsiaTheme="minorEastAsia"/>
          <w:sz w:val="24"/>
        </w:rPr>
        <w:t>设计地震分组为第</w:t>
      </w:r>
      <w:r>
        <w:rPr>
          <w:rFonts w:hint="eastAsia" w:asciiTheme="minorEastAsia" w:hAnsiTheme="minorEastAsia" w:eastAsiaTheme="minorEastAsia"/>
          <w:sz w:val="24"/>
        </w:rPr>
        <w:t>二</w:t>
      </w:r>
      <w:r>
        <w:rPr>
          <w:rFonts w:asciiTheme="minorEastAsia" w:hAnsiTheme="minorEastAsia" w:eastAsiaTheme="minorEastAsia"/>
          <w:sz w:val="24"/>
        </w:rPr>
        <w:t>组，设计基本地震加速度值为0.10g</w:t>
      </w:r>
      <w:r>
        <w:rPr>
          <w:rFonts w:hint="eastAsia" w:asciiTheme="minorEastAsia" w:hAnsiTheme="minorEastAsia" w:eastAsiaTheme="minorEastAsia"/>
          <w:sz w:val="24"/>
        </w:rPr>
        <w:t>，地震动反应谱特征周期为</w:t>
      </w:r>
      <w:r>
        <w:rPr>
          <w:rFonts w:asciiTheme="minorEastAsia" w:hAnsiTheme="minorEastAsia" w:eastAsiaTheme="minorEastAsia"/>
          <w:sz w:val="24"/>
        </w:rPr>
        <w:t>0.</w:t>
      </w:r>
      <w:r>
        <w:rPr>
          <w:rFonts w:hint="eastAsia" w:asciiTheme="minorEastAsia" w:hAnsiTheme="minorEastAsia" w:eastAsiaTheme="minorEastAsia"/>
          <w:sz w:val="24"/>
        </w:rPr>
        <w:t>40</w:t>
      </w:r>
      <w:r>
        <w:rPr>
          <w:rFonts w:hint="eastAsia" w:cs="宋体" w:asciiTheme="minorEastAsia" w:hAnsiTheme="minorEastAsia" w:eastAsiaTheme="minorEastAsia"/>
          <w:sz w:val="24"/>
          <w:lang w:val="zh-CN"/>
        </w:rPr>
        <w:t>～0.55</w:t>
      </w:r>
      <w:r>
        <w:rPr>
          <w:rFonts w:asciiTheme="minorEastAsia" w:hAnsiTheme="minorEastAsia" w:eastAsiaTheme="minorEastAsia"/>
          <w:sz w:val="24"/>
        </w:rPr>
        <w:t>s</w:t>
      </w:r>
      <w:r>
        <w:rPr>
          <w:rFonts w:hint="eastAsia" w:asciiTheme="minorEastAsia" w:hAnsiTheme="minorEastAsia" w:eastAsiaTheme="minorEastAsia"/>
          <w:sz w:val="24"/>
        </w:rPr>
        <w:t>。</w:t>
      </w:r>
    </w:p>
    <w:p>
      <w:pPr>
        <w:pStyle w:val="7"/>
        <w:spacing w:line="360" w:lineRule="auto"/>
        <w:ind w:left="-97" w:leftChars="-46" w:firstLine="480" w:firstLineChars="200"/>
        <w:rPr>
          <w:rFonts w:asciiTheme="minorEastAsia" w:hAnsiTheme="minorEastAsia" w:eastAsiaTheme="minorEastAsia"/>
          <w:sz w:val="24"/>
        </w:rPr>
      </w:pPr>
      <w:r>
        <w:rPr>
          <w:rFonts w:hint="eastAsia" w:asciiTheme="minorEastAsia" w:hAnsiTheme="minorEastAsia" w:eastAsiaTheme="minorEastAsia"/>
          <w:sz w:val="24"/>
        </w:rPr>
        <w:t>根据项目地质初步勘察结果，参考</w:t>
      </w:r>
      <w:r>
        <w:rPr>
          <w:rFonts w:asciiTheme="minorEastAsia" w:hAnsiTheme="minorEastAsia" w:eastAsiaTheme="minorEastAsia"/>
          <w:sz w:val="24"/>
        </w:rPr>
        <w:t>《中国地震烈度区划图》GB18306-20</w:t>
      </w:r>
      <w:r>
        <w:rPr>
          <w:rFonts w:hint="eastAsia" w:asciiTheme="minorEastAsia" w:hAnsiTheme="minorEastAsia" w:eastAsiaTheme="minorEastAsia"/>
          <w:sz w:val="24"/>
        </w:rPr>
        <w:t>15</w:t>
      </w:r>
      <w:r>
        <w:rPr>
          <w:rFonts w:asciiTheme="minorEastAsia" w:hAnsiTheme="minorEastAsia" w:eastAsiaTheme="minorEastAsia"/>
          <w:sz w:val="24"/>
        </w:rPr>
        <w:t>，</w:t>
      </w:r>
      <w:r>
        <w:rPr>
          <w:rFonts w:hint="eastAsia" w:asciiTheme="minorEastAsia" w:hAnsiTheme="minorEastAsia" w:eastAsiaTheme="minorEastAsia"/>
          <w:sz w:val="24"/>
        </w:rPr>
        <w:t>建筑场地类别为Ⅱ～Ⅲ类，处于对建筑抗震不利地段，地震动反应谱特征周期为</w:t>
      </w:r>
      <w:r>
        <w:rPr>
          <w:rFonts w:asciiTheme="minorEastAsia" w:hAnsiTheme="minorEastAsia" w:eastAsiaTheme="minorEastAsia"/>
          <w:sz w:val="24"/>
        </w:rPr>
        <w:t>0.</w:t>
      </w:r>
      <w:r>
        <w:rPr>
          <w:rFonts w:hint="eastAsia" w:asciiTheme="minorEastAsia" w:hAnsiTheme="minorEastAsia" w:eastAsiaTheme="minorEastAsia"/>
          <w:sz w:val="24"/>
        </w:rPr>
        <w:t>40～0.55</w:t>
      </w:r>
      <w:r>
        <w:rPr>
          <w:rFonts w:asciiTheme="minorEastAsia" w:hAnsiTheme="minorEastAsia" w:eastAsiaTheme="minorEastAsia"/>
          <w:sz w:val="24"/>
        </w:rPr>
        <w:t>s</w:t>
      </w:r>
      <w:r>
        <w:rPr>
          <w:rFonts w:hint="eastAsia" w:asciiTheme="minorEastAsia" w:hAnsiTheme="minorEastAsia" w:eastAsiaTheme="minorEastAsia"/>
          <w:sz w:val="24"/>
        </w:rPr>
        <w:t>。</w:t>
      </w:r>
    </w:p>
    <w:p>
      <w:pPr>
        <w:pStyle w:val="3"/>
      </w:pPr>
      <w:bookmarkStart w:id="38" w:name="_Toc515980393"/>
      <w:r>
        <w:rPr>
          <w:rFonts w:hint="eastAsia"/>
        </w:rPr>
        <w:t>4.3交通条件</w:t>
      </w:r>
      <w:bookmarkEnd w:id="37"/>
      <w:bookmarkEnd w:id="38"/>
    </w:p>
    <w:p>
      <w:pPr>
        <w:spacing w:line="360" w:lineRule="auto"/>
        <w:ind w:firstLine="480" w:firstLineChars="200"/>
        <w:rPr>
          <w:rFonts w:ascii="宋体" w:hAnsi="宋体"/>
          <w:sz w:val="24"/>
        </w:rPr>
      </w:pPr>
      <w:r>
        <w:rPr>
          <w:rFonts w:hint="eastAsia" w:ascii="宋体" w:hAnsi="宋体"/>
          <w:sz w:val="24"/>
        </w:rPr>
        <w:t>珠海交通发达。</w:t>
      </w:r>
    </w:p>
    <w:p>
      <w:pPr>
        <w:spacing w:line="360" w:lineRule="auto"/>
        <w:ind w:firstLine="480" w:firstLineChars="200"/>
        <w:rPr>
          <w:rFonts w:ascii="宋体" w:hAnsi="宋体"/>
          <w:sz w:val="24"/>
        </w:rPr>
      </w:pPr>
      <w:r>
        <w:rPr>
          <w:rFonts w:hint="eastAsia" w:ascii="宋体" w:hAnsi="宋体"/>
          <w:sz w:val="24"/>
        </w:rPr>
        <w:t xml:space="preserve">高速公路：京珠高速（北京—珠海）、太澳高速（太原—澳门）、粤西沿海高速、江珠高速（江门—珠海）等在此汇集,可到达国内的多个城市。 </w:t>
      </w:r>
    </w:p>
    <w:p>
      <w:pPr>
        <w:spacing w:line="360" w:lineRule="auto"/>
        <w:ind w:firstLine="480" w:firstLineChars="200"/>
        <w:rPr>
          <w:rFonts w:ascii="宋体" w:hAnsi="宋体"/>
          <w:sz w:val="24"/>
        </w:rPr>
      </w:pPr>
      <w:r>
        <w:rPr>
          <w:rFonts w:hint="eastAsia" w:ascii="宋体" w:hAnsi="宋体"/>
          <w:sz w:val="24"/>
        </w:rPr>
        <w:t>城际轨道：通过珠三角城际轨道到广州只须40多分钟，到珠江三角洲任何城市不超过1小时。</w:t>
      </w:r>
    </w:p>
    <w:p>
      <w:pPr>
        <w:spacing w:line="360" w:lineRule="auto"/>
        <w:ind w:firstLine="480" w:firstLineChars="200"/>
        <w:rPr>
          <w:rFonts w:ascii="宋体" w:hAnsi="宋体"/>
          <w:sz w:val="24"/>
        </w:rPr>
      </w:pPr>
      <w:r>
        <w:rPr>
          <w:rFonts w:hint="eastAsia" w:ascii="宋体" w:hAnsi="宋体"/>
          <w:sz w:val="24"/>
        </w:rPr>
        <w:t xml:space="preserve">港口：作为南中国重要的口岸城市，拥有6个国家级一类口岸，7个国家级二类口岸。珠海港（由高栏、万山、九洲、香洲、唐家、洪湾、斗门7个港区组成）是中国沿海主枢纽港，也是华南第一深水港。目前，珠海港共有生产性泊位107个，其中深水泊位10个，全港货运通过能力为2508万吨/年。其中拱北口岸是我国第二大陆路口岸，九洲口岸是我国最大的水路客运口岸。 </w:t>
      </w:r>
    </w:p>
    <w:p>
      <w:pPr>
        <w:spacing w:line="360" w:lineRule="auto"/>
        <w:ind w:firstLine="480" w:firstLineChars="200"/>
        <w:rPr>
          <w:rFonts w:ascii="宋体" w:hAnsi="宋体"/>
          <w:sz w:val="24"/>
        </w:rPr>
      </w:pPr>
      <w:r>
        <w:rPr>
          <w:rFonts w:hint="eastAsia" w:ascii="宋体" w:hAnsi="宋体"/>
          <w:sz w:val="24"/>
        </w:rPr>
        <w:t xml:space="preserve">空港：珠海机场已开通国内32条航线，附近有香港、澳门、广州和深圳4个机场，到达世界各主要城市。目前珠海机场与香港机场进行战略合作，主要开展国际货运业务。 </w:t>
      </w:r>
    </w:p>
    <w:p>
      <w:pPr>
        <w:spacing w:line="360" w:lineRule="auto"/>
        <w:ind w:firstLine="480" w:firstLineChars="200"/>
        <w:rPr>
          <w:rFonts w:ascii="宋体" w:hAnsi="宋体"/>
          <w:sz w:val="24"/>
        </w:rPr>
      </w:pPr>
      <w:r>
        <w:rPr>
          <w:rFonts w:hint="eastAsia" w:ascii="宋体" w:hAnsi="宋体"/>
          <w:sz w:val="24"/>
        </w:rPr>
        <w:t>港珠澳大桥：连接香港、珠海、澳门的港珠澳跨海大桥，建成后由珠海到香港只须半小时车程。</w:t>
      </w:r>
    </w:p>
    <w:p>
      <w:pPr>
        <w:spacing w:line="360" w:lineRule="auto"/>
        <w:ind w:firstLine="480" w:firstLineChars="200"/>
        <w:rPr>
          <w:rFonts w:ascii="宋体" w:hAnsi="宋体"/>
          <w:sz w:val="24"/>
        </w:rPr>
      </w:pPr>
      <w:r>
        <w:rPr>
          <w:rFonts w:hint="eastAsia" w:ascii="宋体" w:hAnsi="宋体"/>
          <w:sz w:val="24"/>
        </w:rPr>
        <w:t>本项目</w:t>
      </w:r>
      <w:r>
        <w:rPr>
          <w:rFonts w:hint="eastAsia" w:ascii="宋体" w:hAnsi="宋体"/>
          <w:sz w:val="24"/>
          <w:szCs w:val="28"/>
        </w:rPr>
        <w:t>珠海</w:t>
      </w:r>
      <w:r>
        <w:rPr>
          <w:rFonts w:hint="eastAsia" w:ascii="宋体" w:hAnsi="宋体"/>
          <w:sz w:val="24"/>
        </w:rPr>
        <w:t>汇华实验学校用地四周均为道路，其中北面为平南二街，东面为平南一街，交通便利。</w:t>
      </w:r>
    </w:p>
    <w:p>
      <w:pPr>
        <w:pStyle w:val="3"/>
      </w:pPr>
      <w:bookmarkStart w:id="39" w:name="_Toc509586054"/>
      <w:bookmarkStart w:id="40" w:name="_Toc515980394"/>
      <w:r>
        <w:rPr>
          <w:rFonts w:hint="eastAsia"/>
        </w:rPr>
        <w:t>4.4市政配套条件</w:t>
      </w:r>
      <w:bookmarkEnd w:id="39"/>
      <w:bookmarkEnd w:id="40"/>
    </w:p>
    <w:p>
      <w:pPr>
        <w:spacing w:line="360" w:lineRule="auto"/>
        <w:ind w:firstLine="480" w:firstLineChars="200"/>
        <w:rPr>
          <w:rFonts w:ascii="宋体" w:hAnsi="宋体"/>
          <w:color w:val="auto"/>
          <w:sz w:val="24"/>
        </w:rPr>
      </w:pPr>
      <w:r>
        <w:rPr>
          <w:rFonts w:hint="eastAsia" w:ascii="宋体" w:hAnsi="宋体"/>
          <w:color w:val="auto"/>
          <w:sz w:val="24"/>
          <w:szCs w:val="28"/>
        </w:rPr>
        <w:t>珠海</w:t>
      </w:r>
      <w:r>
        <w:rPr>
          <w:rFonts w:hint="eastAsia" w:ascii="宋体" w:hAnsi="宋体"/>
          <w:color w:val="auto"/>
          <w:sz w:val="24"/>
        </w:rPr>
        <w:t>汇华实验学校的供水、排水及供电等市政基础施设条件良好，可满足项目建设及运营的供水、排水及供电需求。</w:t>
      </w:r>
    </w:p>
    <w:p>
      <w:pPr>
        <w:spacing w:line="360" w:lineRule="auto"/>
        <w:ind w:firstLine="480" w:firstLineChars="200"/>
        <w:rPr>
          <w:rFonts w:ascii="宋体" w:hAnsi="宋体"/>
          <w:sz w:val="24"/>
        </w:rPr>
      </w:pPr>
      <w:r>
        <w:rPr>
          <w:rFonts w:hint="eastAsia" w:ascii="宋体" w:hAnsi="宋体"/>
          <w:sz w:val="24"/>
        </w:rPr>
        <w:t>电力：珠海电力充沛。珠海发电厂装机容量为372万千瓦，可以充分保障全市生活、生产用电需要。电力供应有保障。</w:t>
      </w:r>
    </w:p>
    <w:p>
      <w:pPr>
        <w:spacing w:line="360" w:lineRule="auto"/>
        <w:ind w:firstLine="480" w:firstLineChars="200"/>
        <w:rPr>
          <w:rFonts w:ascii="宋体" w:hAnsi="宋体"/>
          <w:sz w:val="24"/>
        </w:rPr>
      </w:pPr>
      <w:r>
        <w:rPr>
          <w:rFonts w:hint="eastAsia" w:ascii="宋体" w:hAnsi="宋体"/>
          <w:sz w:val="24"/>
        </w:rPr>
        <w:t>供水：珠海市淡水资源丰富，日供水能力达180万吨，除满足全市需要外，还向澳门特别行政区供水。供水有保障。</w:t>
      </w:r>
    </w:p>
    <w:p>
      <w:pPr>
        <w:spacing w:line="360" w:lineRule="auto"/>
        <w:ind w:firstLine="480" w:firstLineChars="200"/>
        <w:rPr>
          <w:rFonts w:ascii="宋体" w:hAnsi="宋体"/>
          <w:kern w:val="0"/>
          <w:sz w:val="24"/>
        </w:rPr>
      </w:pPr>
      <w:r>
        <w:rPr>
          <w:rFonts w:hint="eastAsia" w:ascii="宋体" w:hAnsi="宋体"/>
          <w:sz w:val="24"/>
        </w:rPr>
        <w:t>珠海市</w:t>
      </w:r>
      <w:r>
        <w:rPr>
          <w:rFonts w:hint="eastAsia" w:ascii="宋体" w:hAnsi="宋体"/>
          <w:kern w:val="0"/>
          <w:sz w:val="24"/>
        </w:rPr>
        <w:t>通信网络系统发达，可以满足本项目的网络和通信技术需求。</w:t>
      </w:r>
    </w:p>
    <w:p>
      <w:pPr>
        <w:spacing w:line="360" w:lineRule="auto"/>
        <w:ind w:firstLine="480" w:firstLineChars="200"/>
        <w:rPr>
          <w:rFonts w:ascii="宋体" w:hAnsi="宋体"/>
          <w:sz w:val="24"/>
        </w:rPr>
      </w:pPr>
      <w:r>
        <w:rPr>
          <w:rFonts w:hint="eastAsia" w:ascii="宋体" w:hAnsi="宋体"/>
          <w:sz w:val="24"/>
        </w:rPr>
        <w:t>本项目所处区域建材资源丰富，各类建材厂家众多，项目建设所需的砂子、石料、砖、木材等均可由当地建材厂家提供，钢材、水泥可由各生产厂家驻珠海供货商定点供应。项目的建筑材料供应条件良好。</w:t>
      </w:r>
    </w:p>
    <w:p>
      <w:pPr>
        <w:spacing w:line="360" w:lineRule="auto"/>
        <w:ind w:firstLine="480" w:firstLineChars="200"/>
        <w:rPr>
          <w:rFonts w:ascii="宋体" w:hAnsi="宋体"/>
          <w:kern w:val="0"/>
          <w:sz w:val="24"/>
        </w:rPr>
      </w:pPr>
      <w:r>
        <w:rPr>
          <w:rFonts w:hint="eastAsia" w:ascii="宋体" w:hAnsi="宋体"/>
          <w:sz w:val="24"/>
        </w:rPr>
        <w:t>本项目位处高栏港平沙镇，社会环境良好，有利于工程项目的推动和建设</w:t>
      </w:r>
      <w:r>
        <w:rPr>
          <w:rFonts w:hint="eastAsia" w:ascii="宋体" w:hAnsi="宋体"/>
          <w:kern w:val="0"/>
          <w:sz w:val="24"/>
        </w:rPr>
        <w:t>,项目的建设有良好的社会条件。</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41" w:name="_Toc515980395"/>
      <w:bookmarkStart w:id="42" w:name="_Toc498870091"/>
      <w:bookmarkStart w:id="43" w:name="_Toc509584567"/>
      <w:bookmarkStart w:id="44" w:name="_Toc509586055"/>
      <w:r>
        <w:rPr>
          <w:rFonts w:hint="eastAsia" w:ascii="宋体" w:hAnsi="宋体"/>
          <w:bCs w:val="0"/>
          <w:kern w:val="2"/>
          <w:sz w:val="36"/>
        </w:rPr>
        <w:t>第五章  规划建设方案</w:t>
      </w:r>
      <w:bookmarkEnd w:id="41"/>
      <w:bookmarkEnd w:id="42"/>
      <w:bookmarkEnd w:id="43"/>
      <w:bookmarkEnd w:id="44"/>
    </w:p>
    <w:p>
      <w:pPr>
        <w:pStyle w:val="3"/>
      </w:pPr>
      <w:bookmarkStart w:id="45" w:name="_Toc515980396"/>
      <w:bookmarkStart w:id="46" w:name="_Toc509586056"/>
      <w:r>
        <w:rPr>
          <w:rFonts w:hint="eastAsia"/>
        </w:rPr>
        <w:t>5.1  项目定位</w:t>
      </w:r>
      <w:bookmarkEnd w:id="45"/>
      <w:bookmarkEnd w:id="46"/>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高栏港区</w:t>
      </w:r>
      <w:r>
        <w:rPr>
          <w:rFonts w:hint="eastAsia" w:ascii="宋体" w:hAnsi="宋体"/>
          <w:sz w:val="24"/>
          <w:szCs w:val="28"/>
        </w:rPr>
        <w:t>珠海</w:t>
      </w:r>
      <w:r>
        <w:rPr>
          <w:rFonts w:hint="eastAsia" w:asciiTheme="minorEastAsia" w:hAnsiTheme="minorEastAsia" w:eastAsiaTheme="minorEastAsia"/>
          <w:sz w:val="24"/>
        </w:rPr>
        <w:t>汇华实验学校是一所区域性教育机构。学校立足高栏港区平沙新城片区、辐射周边各县市，以市场为导向，按照现代学校管理和现代企业管理体制，以高标准、高起点进行建设。</w:t>
      </w:r>
    </w:p>
    <w:p>
      <w:pPr>
        <w:spacing w:line="360" w:lineRule="auto"/>
        <w:ind w:firstLine="480" w:firstLineChars="200"/>
        <w:rPr>
          <w:rFonts w:asciiTheme="minorEastAsia" w:hAnsiTheme="minorEastAsia" w:eastAsiaTheme="minorEastAsia"/>
          <w:sz w:val="24"/>
        </w:rPr>
      </w:pPr>
      <w:r>
        <w:rPr>
          <w:rFonts w:hint="eastAsia" w:ascii="宋体" w:hAnsi="宋体"/>
          <w:sz w:val="24"/>
          <w:szCs w:val="28"/>
        </w:rPr>
        <w:t>珠海</w:t>
      </w:r>
      <w:r>
        <w:rPr>
          <w:rFonts w:hint="eastAsia" w:asciiTheme="minorEastAsia" w:hAnsiTheme="minorEastAsia" w:eastAsiaTheme="minorEastAsia"/>
          <w:sz w:val="24"/>
        </w:rPr>
        <w:t>汇华实验学校用地位于珠海市平沙镇庆平路南侧，占地面积约32000平方米，总建筑面积约33276.77平方米，其中地上面积约33276.77平方米，包括综合行政实验楼7657.94平方米，教学楼12882.11平方米，文体馆4815.41平方米等。宿舍约7921.31平方米。地下一层，建筑面积约5000平方米，用于停车及设备用房。项目拟在项目用地新建。</w:t>
      </w:r>
    </w:p>
    <w:p>
      <w:pPr>
        <w:spacing w:line="360" w:lineRule="auto"/>
        <w:ind w:firstLine="480" w:firstLineChars="200"/>
        <w:rPr>
          <w:rFonts w:asciiTheme="minorEastAsia" w:hAnsiTheme="minorEastAsia" w:eastAsiaTheme="minorEastAsia"/>
          <w:sz w:val="28"/>
          <w:szCs w:val="28"/>
        </w:rPr>
      </w:pPr>
      <w:r>
        <w:rPr>
          <w:rFonts w:hint="eastAsia" w:asciiTheme="minorEastAsia" w:hAnsiTheme="minorEastAsia" w:eastAsiaTheme="minorEastAsia"/>
          <w:sz w:val="24"/>
        </w:rPr>
        <w:t>本次</w:t>
      </w:r>
      <w:r>
        <w:rPr>
          <w:rFonts w:hint="eastAsia" w:ascii="宋体" w:hAnsi="宋体"/>
          <w:sz w:val="24"/>
          <w:szCs w:val="28"/>
        </w:rPr>
        <w:t>珠海</w:t>
      </w:r>
      <w:r>
        <w:rPr>
          <w:rFonts w:hint="eastAsia" w:asciiTheme="minorEastAsia" w:hAnsiTheme="minorEastAsia" w:eastAsiaTheme="minorEastAsia"/>
          <w:sz w:val="24"/>
        </w:rPr>
        <w:t>汇华实验学校办班规模为36个班，6个活动教室，45人/班，可提供中小学学位1620个</w:t>
      </w:r>
      <w:r>
        <w:rPr>
          <w:rFonts w:hint="eastAsia" w:asciiTheme="minorEastAsia" w:hAnsiTheme="minorEastAsia" w:eastAsiaTheme="minorEastAsia"/>
          <w:sz w:val="28"/>
          <w:szCs w:val="28"/>
        </w:rPr>
        <w:t>。</w:t>
      </w:r>
    </w:p>
    <w:p>
      <w:pPr>
        <w:pStyle w:val="3"/>
      </w:pPr>
      <w:bookmarkStart w:id="47" w:name="_Toc515980397"/>
      <w:bookmarkStart w:id="48" w:name="_Toc509586057"/>
      <w:r>
        <w:rPr>
          <w:rFonts w:hint="eastAsia"/>
        </w:rPr>
        <w:t>5.2  规划设计原则</w:t>
      </w:r>
      <w:bookmarkEnd w:id="47"/>
      <w:bookmarkEnd w:id="48"/>
    </w:p>
    <w:p>
      <w:pPr>
        <w:spacing w:line="360" w:lineRule="auto"/>
        <w:ind w:firstLine="480" w:firstLineChars="200"/>
        <w:rPr>
          <w:rFonts w:ascii="宋体" w:hAnsi="宋体"/>
          <w:bCs/>
          <w:sz w:val="24"/>
        </w:rPr>
      </w:pPr>
      <w:r>
        <w:rPr>
          <w:rFonts w:hint="eastAsia" w:ascii="宋体" w:hAnsi="宋体"/>
          <w:bCs/>
          <w:sz w:val="24"/>
        </w:rPr>
        <w:t>平沙镇位于高栏港经济区，该区域发展思路是</w:t>
      </w:r>
      <w:r>
        <w:rPr>
          <w:rFonts w:ascii="宋体" w:hAnsi="宋体"/>
          <w:bCs/>
          <w:sz w:val="24"/>
        </w:rPr>
        <w:t>结合区域特点，坚持高端发展，抢抓国家实施南海油气资源开发战略的重大机遇，加快发展海洋工程装备制造业和清洁能源等战略性新兴产业，着力构建多元发展、综合集聚、清洁低碳的新型产业结构，全力打造世界级的船舶和海洋工程装备制造基地、国家级的清洁能源和石油化工基地。</w:t>
      </w:r>
      <w:r>
        <w:rPr>
          <w:rFonts w:hint="eastAsia" w:ascii="宋体" w:hAnsi="宋体"/>
          <w:bCs/>
          <w:sz w:val="24"/>
        </w:rPr>
        <w:t>有鉴于此，建于此地的</w:t>
      </w:r>
      <w:r>
        <w:rPr>
          <w:rFonts w:hint="eastAsia" w:ascii="宋体" w:hAnsi="宋体"/>
          <w:sz w:val="24"/>
          <w:szCs w:val="28"/>
        </w:rPr>
        <w:t>珠海</w:t>
      </w:r>
      <w:r>
        <w:rPr>
          <w:rFonts w:hint="eastAsia" w:ascii="宋体" w:hAnsi="宋体"/>
          <w:bCs/>
          <w:sz w:val="24"/>
        </w:rPr>
        <w:t>汇华实验学校，应具有与之相适应的设施先进、形象清新、意识超前的一流风貌，应具有浓郁的文化氛围和生态绿化环境。我们下述设计理念贯穿于本项目设计的全过程，并在整体到细节的一系列工作中得到深入体现。</w:t>
      </w:r>
    </w:p>
    <w:p>
      <w:pPr>
        <w:spacing w:line="360" w:lineRule="auto"/>
        <w:ind w:firstLine="480" w:firstLineChars="200"/>
        <w:rPr>
          <w:rFonts w:ascii="宋体" w:hAnsi="宋体"/>
          <w:bCs/>
          <w:sz w:val="24"/>
        </w:rPr>
      </w:pPr>
      <w:r>
        <w:rPr>
          <w:rFonts w:hint="eastAsia" w:ascii="宋体" w:hAnsi="宋体"/>
          <w:bCs/>
          <w:sz w:val="24"/>
        </w:rPr>
        <w:t>1、现代化教育建筑的设计观</w:t>
      </w:r>
    </w:p>
    <w:p>
      <w:pPr>
        <w:spacing w:line="360" w:lineRule="auto"/>
        <w:ind w:firstLine="480" w:firstLineChars="200"/>
        <w:rPr>
          <w:rFonts w:ascii="宋体" w:hAnsi="宋体"/>
          <w:bCs/>
          <w:sz w:val="24"/>
        </w:rPr>
      </w:pPr>
      <w:r>
        <w:rPr>
          <w:rFonts w:hint="eastAsia" w:ascii="宋体" w:hAnsi="宋体"/>
          <w:bCs/>
          <w:sz w:val="24"/>
        </w:rPr>
        <w:t>现代教育已摆脱了旧式学校的模式，趋向更开放更全面的育人格式，从应试教育逐步转向素质教育，以适应现代社会多层次和知识全面化的需要，现代教育建筑应体现其社会化的一面，以积极开放的姿态面对社会环境急剧变化的现实，以多种手段，如双语教育、电教、信息化教育等，培育面向二十一世纪的人才，或为他们的成才打下了坚实的基础。这种设计思想源自于教育观念和教育方法的更新，使新的校园模式更适应于未来社会。</w:t>
      </w:r>
    </w:p>
    <w:p>
      <w:pPr>
        <w:spacing w:line="360" w:lineRule="auto"/>
        <w:ind w:firstLine="480" w:firstLineChars="200"/>
        <w:rPr>
          <w:rFonts w:ascii="宋体" w:hAnsi="宋体"/>
          <w:bCs/>
          <w:sz w:val="24"/>
        </w:rPr>
      </w:pPr>
      <w:r>
        <w:rPr>
          <w:rFonts w:hint="eastAsia" w:ascii="宋体" w:hAnsi="宋体"/>
          <w:bCs/>
          <w:sz w:val="24"/>
        </w:rPr>
        <w:t>2、人文主义思想的体现</w:t>
      </w:r>
    </w:p>
    <w:p>
      <w:pPr>
        <w:spacing w:line="360" w:lineRule="auto"/>
        <w:ind w:firstLine="480" w:firstLineChars="200"/>
        <w:rPr>
          <w:rFonts w:ascii="宋体" w:hAnsi="宋体"/>
          <w:bCs/>
          <w:sz w:val="24"/>
        </w:rPr>
      </w:pPr>
      <w:r>
        <w:rPr>
          <w:rFonts w:hint="eastAsia" w:ascii="宋体" w:hAnsi="宋体"/>
          <w:bCs/>
          <w:sz w:val="24"/>
        </w:rPr>
        <w:t>面向21世纪的素质教育必须以更多的关注来体现“人”的因素，同时，也要将文化传承置于更重要的位置，精心为师生创造一个书香浓郁的环境，并在功能布局、建筑空间、细部设计上仔细斟酌，力求考虑到每一个细节，并突破传统学校的枯燥单调。</w:t>
      </w:r>
    </w:p>
    <w:p>
      <w:pPr>
        <w:spacing w:line="360" w:lineRule="auto"/>
        <w:ind w:firstLine="480" w:firstLineChars="200"/>
        <w:rPr>
          <w:rFonts w:ascii="宋体" w:hAnsi="宋体"/>
          <w:bCs/>
          <w:sz w:val="24"/>
        </w:rPr>
      </w:pPr>
      <w:r>
        <w:rPr>
          <w:rFonts w:hint="eastAsia" w:ascii="宋体" w:hAnsi="宋体"/>
          <w:bCs/>
          <w:sz w:val="24"/>
        </w:rPr>
        <w:t>3、可持续发展的理念</w:t>
      </w:r>
    </w:p>
    <w:p>
      <w:pPr>
        <w:spacing w:line="360" w:lineRule="auto"/>
        <w:ind w:firstLine="480" w:firstLineChars="200"/>
        <w:rPr>
          <w:rFonts w:ascii="宋体" w:hAnsi="宋体"/>
          <w:bCs/>
          <w:sz w:val="24"/>
        </w:rPr>
      </w:pPr>
      <w:r>
        <w:rPr>
          <w:rFonts w:hint="eastAsia" w:ascii="宋体" w:hAnsi="宋体"/>
          <w:bCs/>
          <w:sz w:val="24"/>
        </w:rPr>
        <w:t>这一概念意味着发展的过程应满足当今的功能要求，而又兼顾未来发展的可能。其实现手段包含了从结构规划、单体设施、材料选择到能源消耗等一系列内容。</w:t>
      </w:r>
    </w:p>
    <w:p>
      <w:pPr>
        <w:pStyle w:val="3"/>
      </w:pPr>
      <w:bookmarkStart w:id="49" w:name="_Toc509586058"/>
      <w:bookmarkStart w:id="50" w:name="_Toc515980398"/>
      <w:r>
        <w:rPr>
          <w:rFonts w:hint="eastAsia"/>
        </w:rPr>
        <w:t>5.3  工程建设方案</w:t>
      </w:r>
      <w:bookmarkEnd w:id="49"/>
      <w:bookmarkEnd w:id="50"/>
    </w:p>
    <w:p>
      <w:pPr>
        <w:spacing w:line="360" w:lineRule="auto"/>
        <w:ind w:firstLine="480" w:firstLineChars="200"/>
        <w:rPr>
          <w:rFonts w:ascii="宋体" w:hAnsi="宋体"/>
          <w:bCs/>
          <w:sz w:val="24"/>
        </w:rPr>
      </w:pPr>
      <w:r>
        <w:rPr>
          <w:rFonts w:hint="eastAsia" w:ascii="宋体" w:hAnsi="宋体"/>
          <w:bCs/>
          <w:sz w:val="24"/>
        </w:rPr>
        <w:t>（一）用地条件</w:t>
      </w:r>
    </w:p>
    <w:p>
      <w:pPr>
        <w:spacing w:line="360" w:lineRule="auto"/>
        <w:ind w:firstLine="480" w:firstLineChars="200"/>
        <w:rPr>
          <w:rFonts w:ascii="宋体" w:hAnsi="宋体"/>
          <w:bCs/>
          <w:sz w:val="24"/>
        </w:rPr>
      </w:pPr>
      <w:r>
        <w:rPr>
          <w:rFonts w:hint="eastAsia" w:ascii="宋体" w:hAnsi="宋体"/>
          <w:bCs/>
          <w:sz w:val="24"/>
        </w:rPr>
        <w:t>项目</w:t>
      </w:r>
      <w:r>
        <w:rPr>
          <w:rFonts w:hint="eastAsia" w:ascii="宋体" w:hAnsi="宋体"/>
          <w:sz w:val="24"/>
        </w:rPr>
        <w:t>用地面积为32000</w:t>
      </w:r>
      <w:r>
        <w:rPr>
          <w:rFonts w:hint="eastAsia" w:ascii="宋体" w:hAnsi="宋体"/>
          <w:bCs/>
          <w:sz w:val="24"/>
        </w:rPr>
        <w:t>㎡，总建筑面积38276.77㎡，其中地上建筑面积33276.77㎡，本地下建筑面积5000㎡，规划为教育用地。</w:t>
      </w:r>
    </w:p>
    <w:p>
      <w:pPr>
        <w:spacing w:line="360" w:lineRule="auto"/>
        <w:ind w:firstLine="480" w:firstLineChars="200"/>
        <w:rPr>
          <w:rFonts w:ascii="宋体" w:hAnsi="宋体"/>
          <w:bCs/>
          <w:sz w:val="24"/>
        </w:rPr>
      </w:pPr>
      <w:r>
        <w:rPr>
          <w:rFonts w:hint="eastAsia" w:ascii="宋体" w:hAnsi="宋体"/>
          <w:bCs/>
          <w:sz w:val="24"/>
        </w:rPr>
        <w:t>原招投标文件中的面积要求为：</w:t>
      </w:r>
    </w:p>
    <w:p>
      <w:pPr>
        <w:spacing w:line="360" w:lineRule="auto"/>
        <w:ind w:firstLine="480" w:firstLineChars="200"/>
        <w:rPr>
          <w:rFonts w:ascii="宋体" w:hAnsi="宋体"/>
          <w:bCs/>
          <w:color w:val="auto"/>
          <w:sz w:val="24"/>
        </w:rPr>
      </w:pPr>
      <w:r>
        <w:rPr>
          <w:rFonts w:hint="eastAsia" w:ascii="宋体" w:hAnsi="宋体"/>
          <w:bCs/>
          <w:color w:val="auto"/>
          <w:sz w:val="24"/>
        </w:rPr>
        <w:t>综合行政实验楼  7657.94㎡</w:t>
      </w:r>
    </w:p>
    <w:p>
      <w:pPr>
        <w:spacing w:line="360" w:lineRule="auto"/>
        <w:ind w:firstLine="480" w:firstLineChars="200"/>
        <w:rPr>
          <w:rFonts w:ascii="宋体" w:hAnsi="宋体"/>
          <w:bCs/>
          <w:color w:val="auto"/>
          <w:sz w:val="24"/>
        </w:rPr>
      </w:pPr>
      <w:r>
        <w:rPr>
          <w:rFonts w:hint="eastAsia" w:ascii="宋体" w:hAnsi="宋体"/>
          <w:bCs/>
          <w:color w:val="auto"/>
          <w:sz w:val="24"/>
        </w:rPr>
        <w:t>教学楼          12882.11㎡</w:t>
      </w:r>
    </w:p>
    <w:p>
      <w:pPr>
        <w:spacing w:line="360" w:lineRule="auto"/>
        <w:ind w:firstLine="480" w:firstLineChars="200"/>
        <w:rPr>
          <w:rFonts w:ascii="宋体" w:hAnsi="宋体"/>
          <w:bCs/>
          <w:color w:val="auto"/>
          <w:sz w:val="24"/>
        </w:rPr>
      </w:pPr>
      <w:r>
        <w:rPr>
          <w:rFonts w:hint="eastAsia" w:ascii="宋体" w:hAnsi="宋体"/>
          <w:bCs/>
          <w:color w:val="auto"/>
          <w:sz w:val="24"/>
        </w:rPr>
        <w:t>文体馆          4815.41㎡</w:t>
      </w:r>
    </w:p>
    <w:p>
      <w:pPr>
        <w:spacing w:line="360" w:lineRule="auto"/>
        <w:ind w:firstLine="480" w:firstLineChars="200"/>
        <w:rPr>
          <w:rFonts w:ascii="宋体" w:hAnsi="宋体"/>
          <w:bCs/>
          <w:color w:val="auto"/>
          <w:sz w:val="24"/>
        </w:rPr>
      </w:pPr>
      <w:r>
        <w:rPr>
          <w:rFonts w:hint="eastAsia" w:ascii="宋体" w:hAnsi="宋体"/>
          <w:bCs/>
          <w:color w:val="auto"/>
          <w:sz w:val="24"/>
        </w:rPr>
        <w:t>宿舍            7921.31㎡</w:t>
      </w:r>
    </w:p>
    <w:p>
      <w:pPr>
        <w:spacing w:line="360" w:lineRule="auto"/>
        <w:ind w:firstLine="480" w:firstLineChars="200"/>
        <w:rPr>
          <w:rFonts w:ascii="宋体" w:hAnsi="宋体"/>
          <w:bCs/>
          <w:color w:val="auto"/>
          <w:sz w:val="24"/>
        </w:rPr>
      </w:pPr>
      <w:r>
        <w:rPr>
          <w:rFonts w:hint="eastAsia" w:ascii="宋体" w:hAnsi="宋体"/>
          <w:bCs/>
          <w:color w:val="auto"/>
          <w:sz w:val="24"/>
        </w:rPr>
        <w:t>现有设计方案中的面积为：</w:t>
      </w:r>
    </w:p>
    <w:p>
      <w:pPr>
        <w:spacing w:line="360" w:lineRule="auto"/>
        <w:ind w:firstLine="480" w:firstLineChars="200"/>
        <w:rPr>
          <w:rFonts w:ascii="宋体" w:hAnsi="宋体"/>
          <w:bCs/>
          <w:color w:val="auto"/>
          <w:sz w:val="24"/>
        </w:rPr>
      </w:pPr>
      <w:r>
        <w:rPr>
          <w:rFonts w:hint="eastAsia" w:ascii="宋体" w:hAnsi="宋体"/>
          <w:bCs/>
          <w:color w:val="auto"/>
          <w:sz w:val="24"/>
        </w:rPr>
        <w:t>综合行政实验楼  7657.94㎡</w:t>
      </w:r>
    </w:p>
    <w:p>
      <w:pPr>
        <w:spacing w:line="360" w:lineRule="auto"/>
        <w:ind w:firstLine="480" w:firstLineChars="200"/>
        <w:rPr>
          <w:rFonts w:ascii="宋体" w:hAnsi="宋体"/>
          <w:bCs/>
          <w:color w:val="auto"/>
          <w:sz w:val="24"/>
        </w:rPr>
      </w:pPr>
      <w:r>
        <w:rPr>
          <w:rFonts w:hint="eastAsia" w:ascii="宋体" w:hAnsi="宋体"/>
          <w:bCs/>
          <w:color w:val="auto"/>
          <w:sz w:val="24"/>
        </w:rPr>
        <w:t>教学楼          12882.11㎡</w:t>
      </w:r>
    </w:p>
    <w:p>
      <w:pPr>
        <w:spacing w:line="360" w:lineRule="auto"/>
        <w:ind w:firstLine="480" w:firstLineChars="200"/>
        <w:rPr>
          <w:rFonts w:ascii="宋体" w:hAnsi="宋体"/>
          <w:bCs/>
          <w:color w:val="auto"/>
          <w:sz w:val="24"/>
        </w:rPr>
      </w:pPr>
      <w:r>
        <w:rPr>
          <w:rFonts w:hint="eastAsia" w:ascii="宋体" w:hAnsi="宋体"/>
          <w:bCs/>
          <w:color w:val="auto"/>
          <w:sz w:val="24"/>
        </w:rPr>
        <w:t>文体馆          4815.41㎡</w:t>
      </w:r>
    </w:p>
    <w:p>
      <w:pPr>
        <w:spacing w:line="360" w:lineRule="auto"/>
        <w:ind w:firstLine="480" w:firstLineChars="200"/>
        <w:rPr>
          <w:rFonts w:ascii="宋体" w:hAnsi="宋体"/>
          <w:bCs/>
          <w:color w:val="auto"/>
          <w:sz w:val="24"/>
        </w:rPr>
      </w:pPr>
      <w:r>
        <w:rPr>
          <w:rFonts w:hint="eastAsia" w:ascii="宋体" w:hAnsi="宋体"/>
          <w:bCs/>
          <w:color w:val="auto"/>
          <w:sz w:val="24"/>
        </w:rPr>
        <w:t>宿舍            7921.31㎡</w:t>
      </w:r>
    </w:p>
    <w:p>
      <w:pPr>
        <w:spacing w:line="360" w:lineRule="auto"/>
        <w:ind w:firstLine="480" w:firstLineChars="200"/>
        <w:rPr>
          <w:rFonts w:ascii="宋体" w:hAnsi="宋体"/>
          <w:bCs/>
          <w:sz w:val="24"/>
        </w:rPr>
      </w:pPr>
      <w:r>
        <w:rPr>
          <w:rFonts w:hint="eastAsia" w:ascii="宋体" w:hAnsi="宋体"/>
          <w:bCs/>
          <w:sz w:val="24"/>
        </w:rPr>
        <w:t>（二）平面规划布置要求</w:t>
      </w:r>
    </w:p>
    <w:p>
      <w:pPr>
        <w:spacing w:line="360" w:lineRule="auto"/>
        <w:ind w:firstLine="480" w:firstLineChars="200"/>
        <w:rPr>
          <w:rFonts w:ascii="宋体" w:hAnsi="宋体"/>
          <w:bCs/>
          <w:sz w:val="24"/>
        </w:rPr>
      </w:pPr>
      <w:r>
        <w:rPr>
          <w:rFonts w:hint="eastAsia" w:ascii="宋体" w:hAnsi="宋体"/>
          <w:bCs/>
          <w:sz w:val="24"/>
        </w:rPr>
        <w:t>1、体现以人为本，满足学生全面发展的要求，创造优美的校园环境和育人环境。</w:t>
      </w:r>
    </w:p>
    <w:p>
      <w:pPr>
        <w:spacing w:line="360" w:lineRule="auto"/>
        <w:ind w:firstLine="480" w:firstLineChars="200"/>
        <w:rPr>
          <w:rFonts w:ascii="宋体" w:hAnsi="宋体"/>
          <w:bCs/>
          <w:sz w:val="24"/>
        </w:rPr>
      </w:pPr>
      <w:r>
        <w:rPr>
          <w:rFonts w:hint="eastAsia" w:ascii="宋体" w:hAnsi="宋体"/>
          <w:bCs/>
          <w:sz w:val="24"/>
        </w:rPr>
        <w:t>2、按教学区、体育运动区等不同功能分区进行合理布局，力求分区明确、联系方便和互不干扰。</w:t>
      </w:r>
    </w:p>
    <w:p>
      <w:pPr>
        <w:spacing w:line="360" w:lineRule="auto"/>
        <w:ind w:firstLine="480" w:firstLineChars="200"/>
        <w:rPr>
          <w:rFonts w:ascii="宋体" w:hAnsi="宋体"/>
          <w:bCs/>
          <w:sz w:val="24"/>
        </w:rPr>
      </w:pPr>
      <w:r>
        <w:rPr>
          <w:rFonts w:hint="eastAsia" w:ascii="宋体" w:hAnsi="宋体"/>
          <w:bCs/>
          <w:sz w:val="24"/>
        </w:rPr>
        <w:t>3、校园内道路系统应简明、直接，保证通行顺畅，满足安全疏散要求，实现人车分流。</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（三）、结构设计</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1.设计依据</w:t>
      </w:r>
      <w:r>
        <w:rPr>
          <w:rFonts w:cs="Times New Roman"/>
          <w:bCs/>
          <w:kern w:val="2"/>
        </w:rPr>
        <w:t>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（1）《建筑结构可靠度设计统一标准》GB50068－2001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（2）《建筑结构荷载规范》GB50009－2001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（3）《混凝土结构设计规范》GB50010－2002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（4）《建筑抗震设计规范》GB50011－2001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（5）《建筑抗震设防分类标准》GB50223－95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（6）《建筑地基基础设计规范》GB50007－2002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（7）《建筑桩基础技术规范》JGJ94－94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2.设计资料</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（1）基本风压</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WO=0.45KN/m2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（2）基本雪压</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SO=0.45KN/m2 </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（3）抗震设防烈度8度</w:t>
      </w:r>
    </w:p>
    <w:p>
      <w:pPr>
        <w:pStyle w:val="63"/>
        <w:shd w:val="clear" w:color="auto" w:fill="FFFFFF"/>
        <w:spacing w:before="0" w:beforeAutospacing="0" w:after="0" w:afterAutospacing="0" w:line="360" w:lineRule="auto"/>
        <w:ind w:firstLine="480" w:firstLineChars="200"/>
        <w:rPr>
          <w:rFonts w:cs="Times New Roman"/>
          <w:bCs/>
          <w:kern w:val="2"/>
        </w:rPr>
      </w:pPr>
      <w:r>
        <w:rPr>
          <w:rFonts w:hint="eastAsia" w:cs="Times New Roman"/>
          <w:bCs/>
          <w:kern w:val="2"/>
        </w:rPr>
        <w:t>3.基础设计</w:t>
      </w:r>
    </w:p>
    <w:p>
      <w:pPr>
        <w:pStyle w:val="63"/>
        <w:shd w:val="clear" w:color="auto" w:fill="FFFFFF"/>
        <w:spacing w:before="0" w:beforeAutospacing="0" w:after="0" w:afterAutospacing="0" w:line="360" w:lineRule="auto"/>
        <w:ind w:firstLine="480" w:firstLineChars="200"/>
        <w:contextualSpacing/>
        <w:rPr>
          <w:rFonts w:cs="Times New Roman"/>
          <w:bCs/>
          <w:kern w:val="2"/>
        </w:rPr>
      </w:pPr>
      <w:r>
        <w:rPr>
          <w:rFonts w:hint="eastAsia" w:cs="Times New Roman"/>
          <w:bCs/>
          <w:kern w:val="2"/>
        </w:rPr>
        <w:t>根据建筑上部结构和地质情况，该工程基础拟采用独立基础。</w:t>
      </w:r>
    </w:p>
    <w:p>
      <w:pPr>
        <w:pStyle w:val="63"/>
        <w:shd w:val="clear" w:color="auto" w:fill="FFFFFF"/>
        <w:spacing w:before="0" w:beforeAutospacing="0" w:after="0" w:afterAutospacing="0" w:line="360" w:lineRule="auto"/>
        <w:ind w:firstLine="480" w:firstLineChars="200"/>
        <w:contextualSpacing/>
        <w:rPr>
          <w:rFonts w:cs="Times New Roman"/>
          <w:bCs/>
          <w:kern w:val="2"/>
        </w:rPr>
      </w:pPr>
      <w:r>
        <w:rPr>
          <w:rFonts w:hint="eastAsia" w:cs="Times New Roman"/>
          <w:bCs/>
          <w:kern w:val="2"/>
        </w:rPr>
        <w:t>4.结构体系</w:t>
      </w:r>
    </w:p>
    <w:p>
      <w:pPr>
        <w:pStyle w:val="63"/>
        <w:shd w:val="clear" w:color="auto" w:fill="FFFFFF"/>
        <w:spacing w:before="0" w:beforeAutospacing="0" w:after="0" w:afterAutospacing="0" w:line="360" w:lineRule="auto"/>
        <w:ind w:firstLine="480" w:firstLineChars="200"/>
        <w:contextualSpacing/>
        <w:rPr>
          <w:rFonts w:cs="Times New Roman"/>
          <w:bCs/>
          <w:kern w:val="2"/>
        </w:rPr>
      </w:pPr>
      <w:r>
        <w:rPr>
          <w:rFonts w:hint="eastAsia" w:cs="Times New Roman"/>
          <w:bCs/>
          <w:kern w:val="2"/>
        </w:rPr>
        <w:t>整体采用框架结构体系</w:t>
      </w:r>
    </w:p>
    <w:p>
      <w:pPr>
        <w:pStyle w:val="63"/>
        <w:shd w:val="clear" w:color="auto" w:fill="FFFFFF"/>
        <w:spacing w:before="0" w:beforeAutospacing="0" w:after="0" w:afterAutospacing="0" w:line="360" w:lineRule="auto"/>
        <w:ind w:firstLine="480" w:firstLineChars="200"/>
        <w:contextualSpacing/>
        <w:rPr>
          <w:rFonts w:cs="Times New Roman"/>
          <w:bCs/>
          <w:kern w:val="2"/>
        </w:rPr>
      </w:pPr>
      <w:r>
        <w:rPr>
          <w:rFonts w:hint="eastAsia" w:cs="Times New Roman"/>
          <w:bCs/>
          <w:kern w:val="2"/>
        </w:rPr>
        <w:t>5.建筑墙体构造</w:t>
      </w:r>
    </w:p>
    <w:p>
      <w:pPr>
        <w:pStyle w:val="63"/>
        <w:shd w:val="clear" w:color="auto" w:fill="FFFFFF"/>
        <w:spacing w:before="0" w:beforeAutospacing="0" w:after="0" w:afterAutospacing="0" w:line="360" w:lineRule="auto"/>
        <w:ind w:firstLine="480" w:firstLineChars="200"/>
        <w:contextualSpacing/>
        <w:rPr>
          <w:rFonts w:cs="Times New Roman"/>
          <w:bCs/>
          <w:kern w:val="2"/>
        </w:rPr>
      </w:pPr>
      <w:r>
        <w:rPr>
          <w:rFonts w:hint="eastAsia" w:cs="Times New Roman"/>
          <w:bCs/>
          <w:kern w:val="2"/>
        </w:rPr>
        <w:t>框架结构体系，外墙填充400mm厚陶粒</w:t>
      </w:r>
      <w:r>
        <w:rPr>
          <w:rFonts w:hint="eastAsia" w:cs="Times New Roman"/>
          <w:bCs/>
          <w:kern w:val="2"/>
        </w:rPr>
        <w:tab/>
      </w:r>
      <w:r>
        <w:rPr>
          <w:rFonts w:hint="eastAsia" w:cs="Times New Roman"/>
          <w:bCs/>
          <w:kern w:val="2"/>
        </w:rPr>
        <w:t>混凝土空心砌块。</w:t>
      </w:r>
    </w:p>
    <w:p>
      <w:pPr>
        <w:pStyle w:val="63"/>
        <w:shd w:val="clear" w:color="auto" w:fill="FFFFFF"/>
        <w:spacing w:before="0" w:beforeAutospacing="0" w:after="0" w:afterAutospacing="0" w:line="360" w:lineRule="auto"/>
        <w:ind w:firstLine="480" w:firstLineChars="200"/>
        <w:contextualSpacing/>
        <w:rPr>
          <w:rFonts w:cs="Times New Roman"/>
          <w:bCs/>
          <w:color w:val="000000" w:themeColor="text1"/>
          <w:kern w:val="2"/>
        </w:rPr>
      </w:pPr>
      <w:r>
        <w:rPr>
          <w:rFonts w:hint="eastAsia" w:cs="Times New Roman"/>
          <w:bCs/>
          <w:color w:val="000000" w:themeColor="text1"/>
          <w:kern w:val="2"/>
        </w:rPr>
        <w:t>6.软基处理</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（1）设计依据</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《建筑地基基础设计规范》   （GB50007-2011）</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《建筑地基基础设计规范》   （DBJ 15-31-2016）</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《建筑地基处理技术规范》   （JGJ79-2012）</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《复合地基技术规范》       （GB/T  50783-2012）</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（2）水泥搅拌桩加固设计</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水泥搅拌桩是通过特制的搅拌机沿深度将水泥等固化剂与地基土强制就地搅拌形成水泥土桩，用以加固软弱地基的方法。水泥搅拌桩对提高软土地基承载力、减少地基沉降量有明显的效果。</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软基处理施工前应进行水泥加固的室内实验，根据被加固土的性质及单桩承载力要求，确定每延米水泥用量，施工前应当先打5根工艺试验桩，以检验机械性能及施工工艺中的各项技术参数（包括浆液配合比，旋喷参数及钻进提升速度等）。</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（3）施工技术的要求</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a.施工工艺</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水泥搅拌桩是使用水泥浆液（水泥采用强度等级为42.5R普通硅酸水泥，水泥浆水灰比为0.50~0.60）搅拌待加固的土体，以钻掘搅拌机在施工现场向一定深度进行钻掘，同时在钻头处喷出水泥系强化剂与地基土反复混合搅拌，使水泥类悬浊液在原地层中与土体搅拌混合。</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b.施工顺序</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水泥搅拌桩区场地清表</w:t>
      </w:r>
      <w:r>
        <w:rPr>
          <w:rFonts w:ascii="宋体" w:hAnsi="宋体"/>
          <w:bCs/>
          <w:color w:val="000000" w:themeColor="text1"/>
          <w:sz w:val="24"/>
        </w:rPr>
        <w:t>—</w:t>
      </w:r>
      <w:r>
        <w:rPr>
          <w:rFonts w:hint="eastAsia" w:ascii="宋体" w:hAnsi="宋体"/>
          <w:bCs/>
          <w:color w:val="000000" w:themeColor="text1"/>
          <w:sz w:val="24"/>
        </w:rPr>
        <w:t>整平场地</w:t>
      </w:r>
      <w:r>
        <w:rPr>
          <w:rFonts w:ascii="宋体" w:hAnsi="宋体"/>
          <w:bCs/>
          <w:color w:val="000000" w:themeColor="text1"/>
          <w:sz w:val="24"/>
        </w:rPr>
        <w:t>—</w:t>
      </w:r>
      <w:r>
        <w:rPr>
          <w:rFonts w:hint="eastAsia" w:ascii="宋体" w:hAnsi="宋体"/>
          <w:bCs/>
          <w:color w:val="000000" w:themeColor="text1"/>
          <w:sz w:val="24"/>
        </w:rPr>
        <w:t>搅拌桩施工</w:t>
      </w:r>
      <w:r>
        <w:rPr>
          <w:rFonts w:ascii="宋体" w:hAnsi="宋体"/>
          <w:bCs/>
          <w:color w:val="000000" w:themeColor="text1"/>
          <w:sz w:val="24"/>
        </w:rPr>
        <w:t>—</w:t>
      </w:r>
      <w:r>
        <w:rPr>
          <w:rFonts w:hint="eastAsia" w:ascii="宋体" w:hAnsi="宋体"/>
          <w:bCs/>
          <w:color w:val="000000" w:themeColor="text1"/>
          <w:sz w:val="24"/>
        </w:rPr>
        <w:t>水泥搅拌检测</w:t>
      </w:r>
      <w:r>
        <w:rPr>
          <w:rFonts w:ascii="宋体" w:hAnsi="宋体"/>
          <w:bCs/>
          <w:color w:val="000000" w:themeColor="text1"/>
          <w:sz w:val="24"/>
        </w:rPr>
        <w:t>—</w:t>
      </w:r>
      <w:r>
        <w:rPr>
          <w:rFonts w:hint="eastAsia" w:ascii="宋体" w:hAnsi="宋体"/>
          <w:bCs/>
          <w:color w:val="000000" w:themeColor="text1"/>
          <w:sz w:val="24"/>
        </w:rPr>
        <w:t>清理表面浮浆及松散物</w:t>
      </w:r>
      <w:r>
        <w:rPr>
          <w:rFonts w:ascii="宋体" w:hAnsi="宋体"/>
          <w:bCs/>
          <w:color w:val="000000" w:themeColor="text1"/>
          <w:sz w:val="24"/>
        </w:rPr>
        <w:t>—</w:t>
      </w:r>
      <w:r>
        <w:rPr>
          <w:rFonts w:hint="eastAsia" w:ascii="宋体" w:hAnsi="宋体"/>
          <w:bCs/>
          <w:color w:val="000000" w:themeColor="text1"/>
          <w:sz w:val="24"/>
        </w:rPr>
        <w:t>铺设砂垫层及土工格栅</w:t>
      </w:r>
      <w:r>
        <w:rPr>
          <w:rFonts w:ascii="宋体" w:hAnsi="宋体"/>
          <w:bCs/>
          <w:color w:val="000000" w:themeColor="text1"/>
          <w:sz w:val="24"/>
        </w:rPr>
        <w:t>—</w:t>
      </w:r>
      <w:r>
        <w:rPr>
          <w:rFonts w:hint="eastAsia" w:ascii="宋体" w:hAnsi="宋体"/>
          <w:bCs/>
          <w:color w:val="000000" w:themeColor="text1"/>
          <w:sz w:val="24"/>
        </w:rPr>
        <w:t>上部设施施工</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c.水泥搅拌桩施工方法</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1）定位：启动搅拌机移到指定桩位，对中。当地面起伏不平时，应调整四支腿的高低，使井架垂直度在桩的设计要求内。对中误差不宜超过2.0cm，桩位允许偏差50mm，垂直度允许偏差1%，桩径允许偏差2%。</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2）浆液配制：①严格控制水灰比，配合比为0.5~0.6。②水泥浆必须充分拌和均匀。③为改善水泥和易性，可加入适量的外加剂。</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3）送浆：将制备好的水泥浆经筛过滤后，倒入贮浆桶，开洞灰浆泵，将浆液送至搅拌头。</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4）钻进搅拌：证实浆液从钻头喷出，启动桩机搅拌头向下旋转钻进搅拌，并连续喷入水泥浆液。</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5）提升搅拌喷浆：将搅拌头自桩端反转匀速提升搅拌，并继续喷入水泥浆液，直至地面。证实浆液从钻头喷出后，启动桩机搅拌头向上提升搅拌，并连续喷入水泥浆液。</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①调整灰浆泵压力档次，是喷浆量满足设计要求。</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②到达设计桩长层位后，应原地喷浆30s。</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6）重复4）、5）</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7）移位：成桩完毕，清理搅拌叶片上包裹的土块及喷浆口，桩机移至另一桩位施工。</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d.铺设砂浆层及土工格栅</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1）垫层采用沙石垫层，水泥搅拌桩检测完毕而合格设计要求后可进行垫层铺设，垫层厚度应满足设计要求。</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2）垫层中间铺设的土工格栅是用聚丙烯、聚氯乙烯等高分子聚合物经热塑或模压而成的二维网格状或具有一定高度的三维立体网格屏栅。建议采用TGDG50，每延米抗拉屈服力≥50KN/m，屈服伸长率≤12%。</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3）土工格栅运至工地后应整齐堆放，上面覆盖遮雨布，防止暴晒和雨淋。</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4）土工格栅搭接应采用缝接法，缝接用线建议采用尼龙丝线。</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（4）检测方法及检测要求</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a.成桩3天后，用轻型动力触探（N</w:t>
      </w:r>
      <w:r>
        <w:rPr>
          <w:rFonts w:hint="eastAsia" w:ascii="宋体" w:hAnsi="宋体"/>
          <w:bCs/>
          <w:color w:val="000000" w:themeColor="text1"/>
          <w:sz w:val="24"/>
          <w:vertAlign w:val="subscript"/>
        </w:rPr>
        <w:t>10</w:t>
      </w:r>
      <w:r>
        <w:rPr>
          <w:rFonts w:hint="eastAsia" w:ascii="宋体" w:hAnsi="宋体"/>
          <w:bCs/>
          <w:color w:val="000000" w:themeColor="text1"/>
          <w:sz w:val="24"/>
        </w:rPr>
        <w:t>）检验每米桩长的均匀性，检查数量为总数的1%，且不少于3根。</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b.成桩7天后，浅部开挖桩头，深度在停浆面以下0.5m，目测检查搅拌均匀性、量测成桩直径，检查数量为总数的5%；</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c.成桩28天后，用双管单动取样器钻取芯样作抗压强度检测，检测数量为施工总桩数的0.5%，且不少于3根。</w:t>
      </w:r>
    </w:p>
    <w:p>
      <w:pPr>
        <w:spacing w:line="360" w:lineRule="auto"/>
        <w:ind w:firstLine="360" w:firstLineChars="150"/>
        <w:rPr>
          <w:rFonts w:ascii="宋体" w:hAnsi="宋体"/>
          <w:bCs/>
          <w:color w:val="FF0000"/>
          <w:sz w:val="24"/>
        </w:rPr>
      </w:pPr>
      <w:r>
        <w:rPr>
          <w:rFonts w:hint="eastAsia" w:ascii="宋体" w:hAnsi="宋体"/>
          <w:bCs/>
          <w:color w:val="000000" w:themeColor="text1"/>
          <w:sz w:val="24"/>
        </w:rPr>
        <w:t>本项目软基处理由甲方另行委托单位完成本项工作。</w:t>
      </w:r>
    </w:p>
    <w:p>
      <w:pPr>
        <w:spacing w:line="360" w:lineRule="auto"/>
        <w:ind w:firstLine="480" w:firstLineChars="200"/>
        <w:rPr>
          <w:rFonts w:ascii="宋体" w:hAnsi="宋体"/>
          <w:bCs/>
          <w:sz w:val="24"/>
        </w:rPr>
      </w:pPr>
      <w:r>
        <w:rPr>
          <w:rFonts w:hint="eastAsia" w:ascii="宋体" w:hAnsi="宋体"/>
          <w:bCs/>
          <w:sz w:val="24"/>
        </w:rPr>
        <w:t>（四）建筑内容及使用要求</w:t>
      </w:r>
    </w:p>
    <w:p>
      <w:pPr>
        <w:spacing w:line="360" w:lineRule="auto"/>
        <w:ind w:firstLine="480" w:firstLineChars="200"/>
        <w:rPr>
          <w:rFonts w:ascii="宋体" w:hAnsi="宋体"/>
          <w:bCs/>
          <w:sz w:val="24"/>
        </w:rPr>
      </w:pPr>
      <w:r>
        <w:rPr>
          <w:rFonts w:hint="eastAsia" w:ascii="宋体" w:hAnsi="宋体"/>
          <w:bCs/>
          <w:sz w:val="24"/>
        </w:rPr>
        <w:t xml:space="preserve">根据功能需求，项目具体功能教室设置如下： </w:t>
      </w:r>
    </w:p>
    <w:p>
      <w:pPr>
        <w:spacing w:line="360" w:lineRule="auto"/>
        <w:ind w:firstLine="482" w:firstLineChars="200"/>
        <w:rPr>
          <w:rFonts w:ascii="宋体" w:hAnsi="宋体"/>
          <w:bCs/>
          <w:sz w:val="24"/>
        </w:rPr>
      </w:pPr>
      <w:r>
        <w:rPr>
          <w:rFonts w:hint="eastAsia" w:ascii="宋体" w:hAnsi="宋体"/>
          <w:b/>
          <w:bCs/>
          <w:sz w:val="24"/>
        </w:rPr>
        <w:t>1、教学用房</w:t>
      </w:r>
      <w:r>
        <w:rPr>
          <w:rFonts w:hint="eastAsia" w:ascii="宋体" w:hAnsi="宋体"/>
          <w:bCs/>
          <w:sz w:val="24"/>
        </w:rPr>
        <w:t>：含卫生间、楼梯间、走廊，所有房间均考虑空调布线布管、校园网络、通讯广播等必备教学办公设施及装修的设计，楼栋设置按照功能房间需求布置合理安排。教学用房主要包括：</w:t>
      </w:r>
    </w:p>
    <w:p>
      <w:pPr>
        <w:spacing w:line="360" w:lineRule="auto"/>
        <w:ind w:firstLine="480" w:firstLineChars="200"/>
        <w:rPr>
          <w:rFonts w:ascii="宋体" w:hAnsi="宋体"/>
          <w:bCs/>
          <w:sz w:val="24"/>
        </w:rPr>
      </w:pPr>
      <w:r>
        <w:rPr>
          <w:rFonts w:hint="eastAsia" w:ascii="宋体" w:hAnsi="宋体"/>
          <w:bCs/>
          <w:sz w:val="24"/>
        </w:rPr>
        <w:t>（1）36个普通教室</w:t>
      </w:r>
    </w:p>
    <w:p>
      <w:pPr>
        <w:spacing w:line="360" w:lineRule="auto"/>
        <w:ind w:firstLine="480" w:firstLineChars="200"/>
        <w:rPr>
          <w:rFonts w:ascii="宋体" w:hAnsi="宋体"/>
          <w:bCs/>
          <w:sz w:val="24"/>
        </w:rPr>
      </w:pPr>
      <w:r>
        <w:rPr>
          <w:rFonts w:hint="eastAsia" w:ascii="宋体" w:hAnsi="宋体"/>
          <w:bCs/>
          <w:sz w:val="24"/>
        </w:rPr>
        <w:t>（2）6个活动教室</w:t>
      </w:r>
    </w:p>
    <w:p>
      <w:pPr>
        <w:spacing w:line="360" w:lineRule="auto"/>
        <w:ind w:firstLine="482" w:firstLineChars="200"/>
        <w:rPr>
          <w:rFonts w:ascii="宋体" w:hAnsi="宋体"/>
          <w:bCs/>
          <w:sz w:val="24"/>
        </w:rPr>
      </w:pPr>
      <w:r>
        <w:rPr>
          <w:rFonts w:hint="eastAsia" w:ascii="宋体" w:hAnsi="宋体"/>
          <w:b/>
          <w:bCs/>
          <w:sz w:val="24"/>
        </w:rPr>
        <w:t>2、教职办公用房</w:t>
      </w:r>
      <w:r>
        <w:rPr>
          <w:rFonts w:hint="eastAsia" w:ascii="宋体" w:hAnsi="宋体"/>
          <w:bCs/>
          <w:sz w:val="24"/>
        </w:rPr>
        <w:t>：含卫生间、楼梯间、走廊。教职办公用房应该科学、合理、经济，应考虑一定的共享活动空间，在合理使用的基础上可灵活调整具体的办公室及功能室的面积，所有房间均考虑空调布线布管、校园网络、通讯广播等必备教学办公设施及装修的设计。</w:t>
      </w:r>
    </w:p>
    <w:p>
      <w:pPr>
        <w:spacing w:line="360" w:lineRule="auto"/>
        <w:ind w:firstLine="482" w:firstLineChars="200"/>
        <w:rPr>
          <w:rFonts w:ascii="宋体" w:hAnsi="宋体"/>
          <w:b/>
          <w:bCs/>
          <w:color w:val="000000" w:themeColor="text1"/>
          <w:sz w:val="24"/>
        </w:rPr>
      </w:pPr>
      <w:r>
        <w:rPr>
          <w:rFonts w:hint="eastAsia" w:ascii="宋体" w:hAnsi="宋体"/>
          <w:b/>
          <w:bCs/>
          <w:color w:val="000000" w:themeColor="text1"/>
          <w:sz w:val="24"/>
        </w:rPr>
        <w:t>3、半地下室：</w:t>
      </w:r>
      <w:r>
        <w:rPr>
          <w:rFonts w:hint="eastAsia" w:ascii="宋体" w:hAnsi="宋体"/>
          <w:bCs/>
          <w:color w:val="000000" w:themeColor="text1"/>
          <w:sz w:val="24"/>
        </w:rPr>
        <w:t>含各类机房，消防水池及水泵房，主要功能为地下车库，内部设置了停车位及学生等候区，不仅方便了家长接送小孩及校车通过，也对学生的安全有所保障，合理规划地下空间，不挤占地面空间，使学生和老师有更多的活动空间</w:t>
      </w:r>
    </w:p>
    <w:p>
      <w:pPr>
        <w:spacing w:line="360" w:lineRule="auto"/>
        <w:ind w:firstLine="482" w:firstLineChars="200"/>
        <w:rPr>
          <w:rFonts w:ascii="宋体" w:hAnsi="宋体"/>
          <w:b/>
          <w:bCs/>
          <w:sz w:val="24"/>
        </w:rPr>
      </w:pPr>
      <w:r>
        <w:rPr>
          <w:rFonts w:hint="eastAsia" w:ascii="宋体" w:hAnsi="宋体"/>
          <w:b/>
          <w:bCs/>
          <w:sz w:val="24"/>
        </w:rPr>
        <w:t>4、其他配套用房</w:t>
      </w:r>
    </w:p>
    <w:p>
      <w:pPr>
        <w:spacing w:line="360" w:lineRule="auto"/>
        <w:ind w:firstLine="480" w:firstLineChars="200"/>
        <w:rPr>
          <w:rFonts w:ascii="宋体" w:hAnsi="宋体"/>
          <w:bCs/>
          <w:sz w:val="24"/>
        </w:rPr>
      </w:pPr>
      <w:r>
        <w:rPr>
          <w:rFonts w:hint="eastAsia" w:ascii="宋体" w:hAnsi="宋体"/>
          <w:bCs/>
          <w:sz w:val="24"/>
        </w:rPr>
        <w:t>（1）食堂</w:t>
      </w:r>
    </w:p>
    <w:p>
      <w:pPr>
        <w:spacing w:line="360" w:lineRule="auto"/>
        <w:ind w:firstLine="480" w:firstLineChars="200"/>
        <w:rPr>
          <w:rFonts w:ascii="宋体" w:hAnsi="宋体"/>
          <w:bCs/>
          <w:sz w:val="24"/>
        </w:rPr>
      </w:pPr>
      <w:r>
        <w:rPr>
          <w:rFonts w:hint="eastAsia" w:ascii="宋体" w:hAnsi="宋体"/>
          <w:bCs/>
          <w:sz w:val="24"/>
        </w:rPr>
        <w:t>（2）配电房</w:t>
      </w:r>
    </w:p>
    <w:p>
      <w:pPr>
        <w:spacing w:line="360" w:lineRule="auto"/>
        <w:ind w:firstLine="480" w:firstLineChars="200"/>
        <w:rPr>
          <w:rFonts w:ascii="宋体" w:hAnsi="宋体"/>
          <w:bCs/>
          <w:sz w:val="24"/>
        </w:rPr>
      </w:pPr>
      <w:r>
        <w:rPr>
          <w:rFonts w:hint="eastAsia" w:ascii="宋体" w:hAnsi="宋体"/>
          <w:bCs/>
          <w:sz w:val="24"/>
        </w:rPr>
        <w:t>（3）校门及门卫（含值班室）</w:t>
      </w:r>
    </w:p>
    <w:p>
      <w:pPr>
        <w:spacing w:line="360" w:lineRule="auto"/>
        <w:ind w:firstLine="482" w:firstLineChars="200"/>
        <w:rPr>
          <w:rFonts w:ascii="宋体" w:hAnsi="宋体"/>
          <w:b/>
          <w:bCs/>
          <w:sz w:val="24"/>
        </w:rPr>
      </w:pPr>
      <w:r>
        <w:rPr>
          <w:rFonts w:hint="eastAsia" w:ascii="宋体" w:hAnsi="宋体"/>
          <w:b/>
          <w:bCs/>
          <w:sz w:val="24"/>
        </w:rPr>
        <w:t>5、体育运动区</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由于考虑到学校内生源逐年增加，现对操场做出以下建设：</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（1）塑胶跑道运动场1个（安排300米标准，6跑道，含主席台）；</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（2）室外篮球场2个,室内篮球场1个；</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（3）室外排球场3个（可考虑与羽毛球场合用）；</w:t>
      </w:r>
    </w:p>
    <w:p>
      <w:pPr>
        <w:spacing w:line="360" w:lineRule="auto"/>
        <w:ind w:firstLine="480" w:firstLineChars="200"/>
        <w:rPr>
          <w:rFonts w:ascii="宋体" w:hAnsi="宋体"/>
          <w:bCs/>
          <w:color w:val="FF0000"/>
          <w:sz w:val="24"/>
        </w:rPr>
      </w:pPr>
      <w:r>
        <w:rPr>
          <w:rFonts w:hint="eastAsia" w:ascii="宋体" w:hAnsi="宋体"/>
          <w:bCs/>
          <w:color w:val="000000" w:themeColor="text1"/>
          <w:sz w:val="24"/>
        </w:rPr>
        <w:t>（4）升旗台1座。</w:t>
      </w:r>
    </w:p>
    <w:p>
      <w:pPr>
        <w:spacing w:line="360" w:lineRule="auto"/>
        <w:ind w:firstLine="482" w:firstLineChars="200"/>
        <w:rPr>
          <w:rFonts w:ascii="宋体" w:hAnsi="宋体"/>
          <w:b/>
          <w:bCs/>
          <w:sz w:val="24"/>
        </w:rPr>
      </w:pPr>
      <w:r>
        <w:rPr>
          <w:rFonts w:hint="eastAsia" w:ascii="宋体" w:hAnsi="宋体"/>
          <w:b/>
          <w:bCs/>
          <w:sz w:val="24"/>
        </w:rPr>
        <w:t>6、其它设计项目</w:t>
      </w:r>
    </w:p>
    <w:p>
      <w:pPr>
        <w:spacing w:line="360" w:lineRule="auto"/>
        <w:ind w:firstLine="480" w:firstLineChars="200"/>
        <w:rPr>
          <w:rFonts w:ascii="宋体" w:hAnsi="宋体"/>
          <w:bCs/>
          <w:sz w:val="24"/>
        </w:rPr>
      </w:pPr>
      <w:r>
        <w:rPr>
          <w:rFonts w:hint="eastAsia" w:ascii="宋体" w:hAnsi="宋体"/>
          <w:bCs/>
          <w:sz w:val="24"/>
        </w:rPr>
        <w:t>（1）考虑合理布置饭堂煤气房及生活垃圾贮存房（符合规范、规划及消防等）；</w:t>
      </w:r>
    </w:p>
    <w:p>
      <w:pPr>
        <w:spacing w:line="360" w:lineRule="auto"/>
        <w:ind w:firstLine="480" w:firstLineChars="200"/>
        <w:rPr>
          <w:rFonts w:ascii="宋体" w:hAnsi="宋体"/>
          <w:bCs/>
          <w:sz w:val="24"/>
        </w:rPr>
      </w:pPr>
      <w:r>
        <w:rPr>
          <w:rFonts w:hint="eastAsia" w:ascii="宋体" w:hAnsi="宋体"/>
          <w:bCs/>
          <w:sz w:val="24"/>
        </w:rPr>
        <w:t>（2）校园环境景观规划设计；</w:t>
      </w:r>
    </w:p>
    <w:p>
      <w:pPr>
        <w:spacing w:line="360" w:lineRule="auto"/>
        <w:ind w:firstLine="480" w:firstLineChars="200"/>
        <w:rPr>
          <w:rFonts w:ascii="宋体" w:hAnsi="宋体"/>
          <w:bCs/>
          <w:sz w:val="24"/>
        </w:rPr>
      </w:pPr>
      <w:r>
        <w:rPr>
          <w:rFonts w:hint="eastAsia" w:ascii="宋体" w:hAnsi="宋体"/>
          <w:bCs/>
          <w:sz w:val="24"/>
        </w:rPr>
        <w:t>（3）校园绿化（美化）规划设计；</w:t>
      </w:r>
    </w:p>
    <w:p>
      <w:pPr>
        <w:spacing w:line="360" w:lineRule="auto"/>
        <w:ind w:firstLine="480" w:firstLineChars="200"/>
        <w:rPr>
          <w:rFonts w:ascii="宋体" w:hAnsi="宋体"/>
          <w:bCs/>
          <w:sz w:val="24"/>
        </w:rPr>
      </w:pPr>
      <w:r>
        <w:rPr>
          <w:rFonts w:hint="eastAsia" w:ascii="宋体" w:hAnsi="宋体"/>
          <w:bCs/>
          <w:sz w:val="24"/>
        </w:rPr>
        <w:t>（4）校门（包含门卫室）规划设计；</w:t>
      </w:r>
    </w:p>
    <w:p>
      <w:pPr>
        <w:spacing w:line="360" w:lineRule="auto"/>
        <w:ind w:firstLine="480" w:firstLineChars="200"/>
        <w:rPr>
          <w:rFonts w:ascii="宋体" w:hAnsi="宋体"/>
          <w:bCs/>
          <w:sz w:val="24"/>
        </w:rPr>
      </w:pPr>
      <w:r>
        <w:rPr>
          <w:rFonts w:hint="eastAsia" w:ascii="宋体" w:hAnsi="宋体"/>
          <w:bCs/>
          <w:sz w:val="24"/>
        </w:rPr>
        <w:t>（5）围墙、校内道路、地上停车场规划设计；</w:t>
      </w:r>
    </w:p>
    <w:p>
      <w:pPr>
        <w:spacing w:line="360" w:lineRule="auto"/>
        <w:ind w:firstLine="480" w:firstLineChars="200"/>
        <w:rPr>
          <w:rFonts w:ascii="宋体" w:hAnsi="宋体"/>
          <w:bCs/>
          <w:sz w:val="24"/>
        </w:rPr>
      </w:pPr>
      <w:r>
        <w:rPr>
          <w:rFonts w:hint="eastAsia" w:ascii="宋体" w:hAnsi="宋体"/>
          <w:bCs/>
          <w:sz w:val="24"/>
        </w:rPr>
        <w:t>（6）直饮水系统设计；</w:t>
      </w:r>
    </w:p>
    <w:p>
      <w:pPr>
        <w:spacing w:line="360" w:lineRule="auto"/>
        <w:ind w:firstLine="480" w:firstLineChars="200"/>
        <w:rPr>
          <w:rFonts w:ascii="宋体" w:hAnsi="宋体"/>
          <w:bCs/>
          <w:sz w:val="24"/>
        </w:rPr>
      </w:pPr>
      <w:r>
        <w:rPr>
          <w:rFonts w:hint="eastAsia" w:ascii="宋体" w:hAnsi="宋体"/>
          <w:bCs/>
          <w:sz w:val="24"/>
        </w:rPr>
        <w:t>（7）校园强弱电（建筑电气、消防电系统、有线电视、网络、广播、相关系统及终端设备管线线路设计等）；</w:t>
      </w:r>
    </w:p>
    <w:p>
      <w:pPr>
        <w:spacing w:line="360" w:lineRule="auto"/>
        <w:ind w:firstLine="480" w:firstLineChars="200"/>
        <w:rPr>
          <w:rFonts w:ascii="宋体" w:hAnsi="宋体"/>
          <w:bCs/>
          <w:sz w:val="24"/>
        </w:rPr>
      </w:pPr>
      <w:r>
        <w:rPr>
          <w:rFonts w:hint="eastAsia" w:ascii="宋体" w:hAnsi="宋体"/>
          <w:bCs/>
          <w:sz w:val="24"/>
        </w:rPr>
        <w:t>（8）给水排水系统、消防系统（含消防水系统、报警系统等）；</w:t>
      </w:r>
    </w:p>
    <w:p>
      <w:pPr>
        <w:spacing w:line="360" w:lineRule="auto"/>
        <w:ind w:firstLine="480" w:firstLineChars="200"/>
        <w:rPr>
          <w:rFonts w:ascii="宋体" w:hAnsi="宋体"/>
          <w:bCs/>
          <w:sz w:val="24"/>
        </w:rPr>
      </w:pPr>
      <w:r>
        <w:rPr>
          <w:rFonts w:hint="eastAsia" w:ascii="宋体" w:hAnsi="宋体"/>
          <w:bCs/>
          <w:sz w:val="24"/>
        </w:rPr>
        <w:t>（9）涉及项目的其他专业设计（如市政高压进线工程、高低压配电工程、钢结构，钢网架、幕墙等）。</w:t>
      </w:r>
    </w:p>
    <w:p>
      <w:pPr>
        <w:spacing w:line="360" w:lineRule="auto"/>
        <w:ind w:firstLine="480" w:firstLineChars="200"/>
        <w:rPr>
          <w:rFonts w:asciiTheme="minorEastAsia" w:hAnsiTheme="minorEastAsia" w:eastAsiaTheme="minorEastAsia"/>
          <w:sz w:val="24"/>
        </w:rPr>
      </w:pPr>
    </w:p>
    <w:p>
      <w:pPr>
        <w:spacing w:line="360" w:lineRule="auto"/>
        <w:jc w:val="center"/>
        <w:rPr>
          <w:rFonts w:ascii="宋体" w:hAnsi="宋体"/>
          <w:bCs/>
          <w:sz w:val="24"/>
        </w:rPr>
      </w:pPr>
      <w:r>
        <w:rPr>
          <w:rFonts w:ascii="宋体" w:hAnsi="宋体"/>
          <w:bCs/>
          <w:sz w:val="24"/>
        </w:rPr>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6191885" cy="8431530"/>
            <wp:effectExtent l="19050" t="0" r="0" b="0"/>
            <wp:wrapSquare wrapText="bothSides"/>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noChangeArrowheads="1"/>
                    </pic:cNvPicPr>
                  </pic:nvPicPr>
                  <pic:blipFill>
                    <a:blip r:embed="rId18"/>
                    <a:srcRect/>
                    <a:stretch>
                      <a:fillRect/>
                    </a:stretch>
                  </pic:blipFill>
                  <pic:spPr>
                    <a:xfrm>
                      <a:off x="0" y="0"/>
                      <a:ext cx="6191745" cy="8431480"/>
                    </a:xfrm>
                    <a:prstGeom prst="rect">
                      <a:avLst/>
                    </a:prstGeom>
                    <a:noFill/>
                    <a:ln w="9525">
                      <a:noFill/>
                      <a:miter lim="800000"/>
                      <a:headEnd/>
                      <a:tailEnd/>
                    </a:ln>
                  </pic:spPr>
                </pic:pic>
              </a:graphicData>
            </a:graphic>
          </wp:anchor>
        </w:drawing>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51" w:name="_Toc515980399"/>
      <w:r>
        <w:rPr>
          <w:rFonts w:hint="eastAsia" w:ascii="宋体" w:hAnsi="宋体"/>
          <w:bCs w:val="0"/>
          <w:kern w:val="2"/>
          <w:sz w:val="36"/>
        </w:rPr>
        <w:t>第六章  公用工程方案</w:t>
      </w:r>
      <w:bookmarkEnd w:id="51"/>
    </w:p>
    <w:p>
      <w:pPr>
        <w:pStyle w:val="3"/>
      </w:pPr>
      <w:bookmarkStart w:id="52" w:name="_Toc509586059"/>
      <w:bookmarkStart w:id="53" w:name="_Toc515980400"/>
      <w:r>
        <w:rPr>
          <w:rFonts w:hint="eastAsia"/>
        </w:rPr>
        <w:t>6.1  给排水工程</w:t>
      </w:r>
      <w:bookmarkEnd w:id="52"/>
      <w:bookmarkEnd w:id="53"/>
    </w:p>
    <w:p>
      <w:pPr>
        <w:spacing w:line="360" w:lineRule="auto"/>
        <w:ind w:firstLine="426" w:firstLineChars="177"/>
        <w:rPr>
          <w:rFonts w:asciiTheme="minorEastAsia" w:hAnsiTheme="minorEastAsia" w:eastAsiaTheme="minorEastAsia"/>
          <w:b/>
          <w:sz w:val="24"/>
        </w:rPr>
      </w:pPr>
      <w:r>
        <w:rPr>
          <w:rFonts w:hint="eastAsia" w:asciiTheme="minorEastAsia" w:hAnsiTheme="minorEastAsia" w:eastAsiaTheme="minorEastAsia"/>
          <w:b/>
          <w:sz w:val="24"/>
        </w:rPr>
        <w:t>（一）设计依据</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 建筑和有关工种提供的条件图及设计资料；</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2、《城镇给水排水技术规范》        GB50788-2012</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3、《室外给水设计规范》            GB50013-2006</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4、《室外排水设计规范》            GB50014-2006（2014年版）</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5、《建筑给水排水设计规范》        GB50015-2003（2009年版）</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6、《民用建筑节水设计标准》        GB50555-2010</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7、《建筑设计防火规范》            GB50016-2014</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8、《消防给水及消火栓系统技术规范》GB50974-2014</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9、《建筑灭火器配置设计规范》      GB50140-2005</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10、《建筑给水排水及采暖工程施工质量验收规范》 GB50242-2002</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11、</w:t>
      </w:r>
      <w:r>
        <w:rPr>
          <w:rFonts w:hint="eastAsia" w:asciiTheme="minorEastAsia" w:hAnsiTheme="minorEastAsia" w:eastAsiaTheme="minorEastAsia"/>
          <w:spacing w:val="10"/>
          <w:sz w:val="24"/>
        </w:rPr>
        <w:t xml:space="preserve">《中小学校设计规范》        </w:t>
      </w:r>
      <w:r>
        <w:rPr>
          <w:rFonts w:asciiTheme="minorEastAsia" w:hAnsiTheme="minorEastAsia" w:eastAsiaTheme="minorEastAsia"/>
          <w:bCs/>
          <w:sz w:val="24"/>
        </w:rPr>
        <w:t>GB50</w:t>
      </w:r>
      <w:r>
        <w:rPr>
          <w:rFonts w:hint="eastAsia" w:asciiTheme="minorEastAsia" w:hAnsiTheme="minorEastAsia" w:eastAsiaTheme="minorEastAsia"/>
          <w:bCs/>
          <w:sz w:val="24"/>
        </w:rPr>
        <w:t>0</w:t>
      </w:r>
      <w:r>
        <w:rPr>
          <w:rFonts w:asciiTheme="minorEastAsia" w:hAnsiTheme="minorEastAsia" w:eastAsiaTheme="minorEastAsia"/>
          <w:bCs/>
          <w:sz w:val="24"/>
        </w:rPr>
        <w:t>99-2011</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12、《二次供水工程技术规程》       CJJ140-2010</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 xml:space="preserve">13、《二次供水设施卫生规范》       </w:t>
      </w:r>
      <w:r>
        <w:rPr>
          <w:rFonts w:asciiTheme="minorEastAsia" w:hAnsiTheme="minorEastAsia" w:eastAsiaTheme="minorEastAsia"/>
          <w:bCs/>
          <w:sz w:val="24"/>
        </w:rPr>
        <w:t>GB</w:t>
      </w:r>
      <w:r>
        <w:rPr>
          <w:rFonts w:hint="eastAsia" w:asciiTheme="minorEastAsia" w:hAnsiTheme="minorEastAsia" w:eastAsiaTheme="minorEastAsia"/>
          <w:bCs/>
          <w:sz w:val="24"/>
        </w:rPr>
        <w:t>17051</w:t>
      </w:r>
      <w:r>
        <w:rPr>
          <w:rFonts w:asciiTheme="minorEastAsia" w:hAnsiTheme="minorEastAsia" w:eastAsiaTheme="minorEastAsia"/>
          <w:bCs/>
          <w:sz w:val="24"/>
        </w:rPr>
        <w:t>-</w:t>
      </w:r>
      <w:r>
        <w:rPr>
          <w:rFonts w:hint="eastAsia" w:asciiTheme="minorEastAsia" w:hAnsiTheme="minorEastAsia" w:eastAsiaTheme="minorEastAsia"/>
          <w:bCs/>
          <w:sz w:val="24"/>
        </w:rPr>
        <w:t>1997</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 xml:space="preserve">14、《建筑机电工程抗震设计规范》   </w:t>
      </w:r>
      <w:r>
        <w:rPr>
          <w:rFonts w:asciiTheme="minorEastAsia" w:hAnsiTheme="minorEastAsia" w:eastAsiaTheme="minorEastAsia"/>
          <w:bCs/>
          <w:sz w:val="24"/>
        </w:rPr>
        <w:t>GB50</w:t>
      </w:r>
      <w:r>
        <w:rPr>
          <w:rFonts w:hint="eastAsia" w:asciiTheme="minorEastAsia" w:hAnsiTheme="minorEastAsia" w:eastAsiaTheme="minorEastAsia"/>
          <w:bCs/>
          <w:sz w:val="24"/>
        </w:rPr>
        <w:t>981</w:t>
      </w:r>
      <w:r>
        <w:rPr>
          <w:rFonts w:asciiTheme="minorEastAsia" w:hAnsiTheme="minorEastAsia" w:eastAsiaTheme="minorEastAsia"/>
          <w:bCs/>
          <w:sz w:val="24"/>
        </w:rPr>
        <w:t>-201</w:t>
      </w:r>
      <w:r>
        <w:rPr>
          <w:rFonts w:hint="eastAsia" w:asciiTheme="minorEastAsia" w:hAnsiTheme="minorEastAsia" w:eastAsiaTheme="minorEastAsia"/>
          <w:bCs/>
          <w:sz w:val="24"/>
        </w:rPr>
        <w:t>4</w:t>
      </w:r>
    </w:p>
    <w:p>
      <w:pPr>
        <w:spacing w:line="360" w:lineRule="auto"/>
        <w:ind w:firstLine="48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15、《生活饮用水卫生标准》         GB5749-2006</w:t>
      </w:r>
    </w:p>
    <w:p>
      <w:pPr>
        <w:spacing w:line="360" w:lineRule="auto"/>
        <w:ind w:firstLine="426" w:firstLineChars="177"/>
        <w:rPr>
          <w:rFonts w:asciiTheme="minorEastAsia" w:hAnsiTheme="minorEastAsia" w:eastAsiaTheme="minorEastAsia"/>
          <w:b/>
          <w:sz w:val="24"/>
        </w:rPr>
      </w:pPr>
      <w:r>
        <w:rPr>
          <w:rFonts w:hint="eastAsia" w:asciiTheme="minorEastAsia" w:hAnsiTheme="minorEastAsia" w:eastAsiaTheme="minorEastAsia"/>
          <w:b/>
          <w:sz w:val="24"/>
        </w:rPr>
        <w:t>（二）设计范围</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校区的室内给水、污废水、雨水系统；室内外消火栓系统、建筑灭火器配置。室外给排水管网及小型构筑物。</w:t>
      </w:r>
    </w:p>
    <w:p>
      <w:pPr>
        <w:spacing w:line="360" w:lineRule="auto"/>
        <w:ind w:firstLine="426" w:firstLineChars="177"/>
        <w:rPr>
          <w:rFonts w:asciiTheme="minorEastAsia" w:hAnsiTheme="minorEastAsia" w:eastAsiaTheme="minorEastAsia"/>
          <w:b/>
          <w:sz w:val="24"/>
        </w:rPr>
      </w:pPr>
      <w:r>
        <w:rPr>
          <w:rFonts w:hint="eastAsia" w:asciiTheme="minorEastAsia" w:hAnsiTheme="minorEastAsia" w:eastAsiaTheme="minorEastAsia"/>
          <w:b/>
          <w:sz w:val="24"/>
        </w:rPr>
        <w:t>（三）给水系统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1、本工程给水由用市政一条DN150给水引入管上引出，并在本工程用地内设置用水总水表。</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2、本工程生活给水泵房设于地下室。</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3、给水系统垂直分为两个区，首层至三层采用市政压力供水，四层及以上采用变频加压供水。</w:t>
      </w:r>
    </w:p>
    <w:p>
      <w:pPr>
        <w:spacing w:line="360" w:lineRule="auto"/>
        <w:ind w:firstLine="480"/>
        <w:rPr>
          <w:rFonts w:asciiTheme="minorEastAsia" w:hAnsiTheme="minorEastAsia" w:eastAsiaTheme="minorEastAsia"/>
          <w:spacing w:val="10"/>
          <w:sz w:val="24"/>
        </w:rPr>
      </w:pPr>
      <w:r>
        <w:rPr>
          <w:rFonts w:hint="eastAsia" w:asciiTheme="minorEastAsia" w:hAnsiTheme="minorEastAsia" w:eastAsiaTheme="minorEastAsia"/>
          <w:bCs/>
          <w:sz w:val="24"/>
        </w:rPr>
        <w:t>市政最低供水压力拟按0.25MPa考虑，采取市政压力直供。</w:t>
      </w:r>
      <w:r>
        <w:rPr>
          <w:rFonts w:hint="eastAsia" w:asciiTheme="minorEastAsia" w:hAnsiTheme="minorEastAsia" w:eastAsiaTheme="minorEastAsia"/>
          <w:spacing w:val="10"/>
          <w:sz w:val="24"/>
        </w:rPr>
        <w:t>通过DN150环状生活管供各建筑用水。</w:t>
      </w:r>
    </w:p>
    <w:p>
      <w:pPr>
        <w:snapToGrid w:val="0"/>
        <w:spacing w:line="360" w:lineRule="auto"/>
        <w:ind w:firstLine="360" w:firstLineChars="150"/>
        <w:rPr>
          <w:rFonts w:asciiTheme="minorEastAsia" w:hAnsiTheme="minorEastAsia" w:eastAsiaTheme="minorEastAsia"/>
          <w:bCs/>
          <w:sz w:val="24"/>
        </w:rPr>
      </w:pPr>
      <w:r>
        <w:rPr>
          <w:rFonts w:hint="eastAsia" w:asciiTheme="minorEastAsia" w:hAnsiTheme="minorEastAsia" w:eastAsiaTheme="minorEastAsia"/>
          <w:bCs/>
          <w:sz w:val="24"/>
        </w:rPr>
        <w:t>本项目用水定额及用水量详见用水量一览表。</w:t>
      </w:r>
    </w:p>
    <w:p>
      <w:pPr>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用水量一览表</w:t>
      </w:r>
    </w:p>
    <w:tbl>
      <w:tblPr>
        <w:tblStyle w:val="19"/>
        <w:tblW w:w="822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540"/>
        <w:gridCol w:w="1800"/>
        <w:gridCol w:w="1629"/>
        <w:gridCol w:w="1071"/>
        <w:gridCol w:w="105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Height w:val="315" w:hRule="atLeast"/>
        </w:trPr>
        <w:tc>
          <w:tcPr>
            <w:tcW w:w="540" w:type="dxa"/>
            <w:vMerge w:val="restart"/>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序号</w:t>
            </w:r>
          </w:p>
        </w:tc>
        <w:tc>
          <w:tcPr>
            <w:tcW w:w="1800" w:type="dxa"/>
            <w:vMerge w:val="restart"/>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用水名称</w:t>
            </w:r>
          </w:p>
        </w:tc>
        <w:tc>
          <w:tcPr>
            <w:tcW w:w="1629" w:type="dxa"/>
            <w:vMerge w:val="restart"/>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用水定额</w:t>
            </w:r>
          </w:p>
        </w:tc>
        <w:tc>
          <w:tcPr>
            <w:tcW w:w="2127" w:type="dxa"/>
            <w:gridSpan w:val="2"/>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用水量</w:t>
            </w:r>
          </w:p>
        </w:tc>
        <w:tc>
          <w:tcPr>
            <w:tcW w:w="2126" w:type="dxa"/>
            <w:vMerge w:val="restart"/>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Height w:val="315" w:hRule="atLeast"/>
        </w:trPr>
        <w:tc>
          <w:tcPr>
            <w:tcW w:w="540" w:type="dxa"/>
            <w:vMerge w:val="continue"/>
            <w:vAlign w:val="center"/>
          </w:tcPr>
          <w:p>
            <w:pPr>
              <w:adjustRightInd w:val="0"/>
              <w:snapToGrid w:val="0"/>
              <w:spacing w:line="360" w:lineRule="auto"/>
              <w:jc w:val="center"/>
              <w:rPr>
                <w:rFonts w:asciiTheme="minorEastAsia" w:hAnsiTheme="minorEastAsia" w:eastAsiaTheme="minorEastAsia"/>
                <w:bCs/>
                <w:sz w:val="24"/>
              </w:rPr>
            </w:pPr>
          </w:p>
        </w:tc>
        <w:tc>
          <w:tcPr>
            <w:tcW w:w="1800" w:type="dxa"/>
            <w:vMerge w:val="continue"/>
            <w:vAlign w:val="center"/>
          </w:tcPr>
          <w:p>
            <w:pPr>
              <w:adjustRightInd w:val="0"/>
              <w:snapToGrid w:val="0"/>
              <w:spacing w:line="360" w:lineRule="auto"/>
              <w:jc w:val="center"/>
              <w:rPr>
                <w:rFonts w:asciiTheme="minorEastAsia" w:hAnsiTheme="minorEastAsia" w:eastAsiaTheme="minorEastAsia"/>
                <w:bCs/>
                <w:sz w:val="24"/>
              </w:rPr>
            </w:pPr>
          </w:p>
        </w:tc>
        <w:tc>
          <w:tcPr>
            <w:tcW w:w="1629" w:type="dxa"/>
            <w:vMerge w:val="continue"/>
            <w:vAlign w:val="center"/>
          </w:tcPr>
          <w:p>
            <w:pPr>
              <w:adjustRightInd w:val="0"/>
              <w:snapToGrid w:val="0"/>
              <w:spacing w:line="360" w:lineRule="auto"/>
              <w:jc w:val="center"/>
              <w:rPr>
                <w:rFonts w:asciiTheme="minorEastAsia" w:hAnsiTheme="minorEastAsia" w:eastAsiaTheme="minorEastAsia"/>
                <w:bCs/>
                <w:sz w:val="24"/>
              </w:rPr>
            </w:pPr>
          </w:p>
        </w:tc>
        <w:tc>
          <w:tcPr>
            <w:tcW w:w="1071"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最大日</w:t>
            </w:r>
          </w:p>
          <w:p>
            <w:pPr>
              <w:adjustRightInd w:val="0"/>
              <w:snapToGrid w:val="0"/>
              <w:spacing w:line="360" w:lineRule="auto"/>
              <w:jc w:val="center"/>
              <w:rPr>
                <w:rFonts w:asciiTheme="minorEastAsia" w:hAnsiTheme="minorEastAsia" w:eastAsiaTheme="minorEastAsia"/>
                <w:bCs/>
                <w:sz w:val="24"/>
              </w:rPr>
            </w:pPr>
            <w:r>
              <w:rPr>
                <w:rFonts w:asciiTheme="minorEastAsia" w:hAnsiTheme="minorEastAsia" w:eastAsiaTheme="minorEastAsia"/>
                <w:bCs/>
                <w:sz w:val="24"/>
              </w:rPr>
              <w:t>m</w:t>
            </w:r>
            <w:r>
              <w:rPr>
                <w:rFonts w:asciiTheme="minorEastAsia" w:hAnsiTheme="minorEastAsia" w:eastAsiaTheme="minorEastAsia"/>
                <w:bCs/>
                <w:sz w:val="24"/>
                <w:vertAlign w:val="superscript"/>
              </w:rPr>
              <w:t>3</w:t>
            </w:r>
            <w:r>
              <w:rPr>
                <w:rFonts w:asciiTheme="minorEastAsia" w:hAnsiTheme="minorEastAsia" w:eastAsiaTheme="minorEastAsia"/>
                <w:bCs/>
                <w:sz w:val="24"/>
              </w:rPr>
              <w:t>/d</w:t>
            </w:r>
          </w:p>
        </w:tc>
        <w:tc>
          <w:tcPr>
            <w:tcW w:w="1056"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最大时</w:t>
            </w:r>
          </w:p>
          <w:p>
            <w:pPr>
              <w:adjustRightInd w:val="0"/>
              <w:snapToGrid w:val="0"/>
              <w:spacing w:line="360" w:lineRule="auto"/>
              <w:jc w:val="center"/>
              <w:rPr>
                <w:rFonts w:asciiTheme="minorEastAsia" w:hAnsiTheme="minorEastAsia" w:eastAsiaTheme="minorEastAsia"/>
                <w:bCs/>
                <w:sz w:val="24"/>
              </w:rPr>
            </w:pPr>
            <w:r>
              <w:rPr>
                <w:rFonts w:asciiTheme="minorEastAsia" w:hAnsiTheme="minorEastAsia" w:eastAsiaTheme="minorEastAsia"/>
                <w:bCs/>
                <w:sz w:val="24"/>
              </w:rPr>
              <w:t>m</w:t>
            </w:r>
            <w:r>
              <w:rPr>
                <w:rFonts w:asciiTheme="minorEastAsia" w:hAnsiTheme="minorEastAsia" w:eastAsiaTheme="minorEastAsia"/>
                <w:bCs/>
                <w:sz w:val="24"/>
                <w:vertAlign w:val="superscript"/>
              </w:rPr>
              <w:t>3</w:t>
            </w:r>
            <w:r>
              <w:rPr>
                <w:rFonts w:asciiTheme="minorEastAsia" w:hAnsiTheme="minorEastAsia" w:eastAsiaTheme="minorEastAsia"/>
                <w:bCs/>
                <w:sz w:val="24"/>
              </w:rPr>
              <w:t>/hmax</w:t>
            </w:r>
          </w:p>
        </w:tc>
        <w:tc>
          <w:tcPr>
            <w:tcW w:w="2126" w:type="dxa"/>
            <w:vMerge w:val="continue"/>
            <w:vAlign w:val="center"/>
          </w:tcPr>
          <w:p>
            <w:pPr>
              <w:adjustRightInd w:val="0"/>
              <w:snapToGrid w:val="0"/>
              <w:spacing w:line="360" w:lineRule="auto"/>
              <w:jc w:val="center"/>
              <w:rPr>
                <w:rFonts w:asciiTheme="minorEastAsia" w:hAnsiTheme="minorEastAsia" w:eastAsia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1</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学生用水</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40</w:t>
            </w:r>
            <w:r>
              <w:rPr>
                <w:rFonts w:asciiTheme="minorEastAsia" w:hAnsiTheme="minorEastAsia" w:eastAsiaTheme="minorEastAsia"/>
                <w:bCs/>
                <w:sz w:val="24"/>
              </w:rPr>
              <w:t>L/</w:t>
            </w:r>
            <w:r>
              <w:rPr>
                <w:rFonts w:hint="eastAsia" w:asciiTheme="minorEastAsia" w:hAnsiTheme="minorEastAsia" w:eastAsiaTheme="minorEastAsia"/>
                <w:bCs/>
                <w:sz w:val="24"/>
              </w:rPr>
              <w:t>人</w:t>
            </w:r>
            <w:r>
              <w:rPr>
                <w:rFonts w:asciiTheme="minorEastAsia" w:hAnsiTheme="minorEastAsia" w:eastAsiaTheme="minorEastAsia"/>
                <w:bCs/>
                <w:sz w:val="24"/>
              </w:rPr>
              <w:t>.</w:t>
            </w:r>
            <w:r>
              <w:rPr>
                <w:rFonts w:hint="eastAsia" w:asciiTheme="minorEastAsia" w:hAnsiTheme="minorEastAsia" w:eastAsiaTheme="minorEastAsia"/>
                <w:bCs/>
                <w:sz w:val="24"/>
              </w:rPr>
              <w:t>d</w:t>
            </w: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64.8 </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9.72 </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1620人 </w:t>
            </w:r>
            <w:r>
              <w:rPr>
                <w:rFonts w:asciiTheme="minorEastAsia" w:hAnsiTheme="minorEastAsia" w:eastAsiaTheme="minorEastAsia"/>
                <w:bCs/>
                <w:sz w:val="24"/>
              </w:rPr>
              <w:t>k=</w:t>
            </w:r>
            <w:r>
              <w:rPr>
                <w:rFonts w:hint="eastAsia" w:asciiTheme="minorEastAsia" w:hAnsiTheme="minorEastAsia" w:eastAsiaTheme="minorEastAsia"/>
                <w:bCs/>
                <w:sz w:val="24"/>
              </w:rPr>
              <w:t>1.3</w:t>
            </w:r>
            <w:r>
              <w:rPr>
                <w:rFonts w:asciiTheme="minorEastAsia" w:hAnsiTheme="minorEastAsia" w:eastAsiaTheme="minorEastAsia"/>
                <w:bCs/>
                <w:sz w:val="24"/>
              </w:rPr>
              <w:t xml:space="preserve"> ,</w:t>
            </w:r>
            <w:r>
              <w:rPr>
                <w:rFonts w:hint="eastAsia" w:asciiTheme="minorEastAsia" w:hAnsiTheme="minorEastAsia" w:eastAsiaTheme="minorEastAsia"/>
                <w:bCs/>
                <w:sz w:val="24"/>
              </w:rPr>
              <w:t>8小时计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2</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教职工用水</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50</w:t>
            </w:r>
            <w:r>
              <w:rPr>
                <w:rFonts w:asciiTheme="minorEastAsia" w:hAnsiTheme="minorEastAsia" w:eastAsiaTheme="minorEastAsia"/>
                <w:bCs/>
                <w:sz w:val="24"/>
              </w:rPr>
              <w:t>L/</w:t>
            </w:r>
            <w:r>
              <w:rPr>
                <w:rFonts w:hint="eastAsia" w:asciiTheme="minorEastAsia" w:hAnsiTheme="minorEastAsia" w:eastAsiaTheme="minorEastAsia"/>
                <w:bCs/>
                <w:sz w:val="24"/>
              </w:rPr>
              <w:t>人</w:t>
            </w:r>
            <w:r>
              <w:rPr>
                <w:rFonts w:asciiTheme="minorEastAsia" w:hAnsiTheme="minorEastAsia" w:eastAsiaTheme="minorEastAsia"/>
                <w:bCs/>
                <w:sz w:val="24"/>
              </w:rPr>
              <w:t>.d</w:t>
            </w: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4.85</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0.73 </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97人 </w:t>
            </w:r>
            <w:r>
              <w:rPr>
                <w:rFonts w:asciiTheme="minorEastAsia" w:hAnsiTheme="minorEastAsia" w:eastAsiaTheme="minorEastAsia"/>
                <w:bCs/>
                <w:sz w:val="24"/>
              </w:rPr>
              <w:t>k=</w:t>
            </w:r>
            <w:r>
              <w:rPr>
                <w:rFonts w:hint="eastAsia" w:asciiTheme="minorEastAsia" w:hAnsiTheme="minorEastAsia" w:eastAsiaTheme="minorEastAsia"/>
                <w:bCs/>
                <w:sz w:val="24"/>
              </w:rPr>
              <w:t>1.3</w:t>
            </w:r>
            <w:r>
              <w:rPr>
                <w:rFonts w:asciiTheme="minorEastAsia" w:hAnsiTheme="minorEastAsia" w:eastAsiaTheme="minorEastAsia"/>
                <w:bCs/>
                <w:sz w:val="24"/>
              </w:rPr>
              <w:t xml:space="preserve"> ,</w:t>
            </w:r>
            <w:r>
              <w:rPr>
                <w:rFonts w:hint="eastAsia" w:asciiTheme="minorEastAsia" w:hAnsiTheme="minorEastAsia" w:eastAsiaTheme="minorEastAsia"/>
                <w:bCs/>
                <w:sz w:val="24"/>
              </w:rPr>
              <w:t>8小时计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Height w:val="236" w:hRule="atLeas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3</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食堂用水</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20</w:t>
            </w:r>
            <w:r>
              <w:rPr>
                <w:rFonts w:asciiTheme="minorEastAsia" w:hAnsiTheme="minorEastAsia" w:eastAsiaTheme="minorEastAsia"/>
                <w:bCs/>
                <w:sz w:val="24"/>
              </w:rPr>
              <w:t>L/</w:t>
            </w:r>
            <w:r>
              <w:rPr>
                <w:rFonts w:hint="eastAsia" w:asciiTheme="minorEastAsia" w:hAnsiTheme="minorEastAsia" w:eastAsiaTheme="minorEastAsia"/>
                <w:bCs/>
                <w:sz w:val="24"/>
              </w:rPr>
              <w:t>人</w:t>
            </w:r>
            <w:r>
              <w:rPr>
                <w:rFonts w:asciiTheme="minorEastAsia" w:hAnsiTheme="minorEastAsia" w:eastAsiaTheme="minorEastAsia"/>
                <w:bCs/>
                <w:sz w:val="24"/>
              </w:rPr>
              <w:t>.d</w:t>
            </w:r>
          </w:p>
        </w:tc>
        <w:tc>
          <w:tcPr>
            <w:tcW w:w="1071" w:type="dxa"/>
            <w:vAlign w:val="center"/>
          </w:tcPr>
          <w:p>
            <w:pPr>
              <w:jc w:val="right"/>
              <w:rPr>
                <w:rFonts w:asciiTheme="minorEastAsia" w:hAnsiTheme="minorEastAsia" w:eastAsiaTheme="minorEastAsia"/>
                <w:sz w:val="24"/>
              </w:rPr>
            </w:pPr>
            <w:r>
              <w:rPr>
                <w:rFonts w:hint="eastAsia" w:asciiTheme="minorEastAsia" w:hAnsiTheme="minorEastAsia" w:eastAsiaTheme="minorEastAsia"/>
                <w:sz w:val="24"/>
              </w:rPr>
              <w:t>34.34</w:t>
            </w:r>
          </w:p>
        </w:tc>
        <w:tc>
          <w:tcPr>
            <w:tcW w:w="1056" w:type="dxa"/>
            <w:vAlign w:val="center"/>
          </w:tcPr>
          <w:p>
            <w:pPr>
              <w:jc w:val="right"/>
              <w:rPr>
                <w:rFonts w:asciiTheme="minorEastAsia" w:hAnsiTheme="minorEastAsia" w:eastAsiaTheme="minorEastAsia"/>
                <w:sz w:val="24"/>
              </w:rPr>
            </w:pPr>
            <w:r>
              <w:rPr>
                <w:rFonts w:hint="eastAsia" w:asciiTheme="minorEastAsia" w:hAnsiTheme="minorEastAsia" w:eastAsiaTheme="minorEastAsia"/>
                <w:sz w:val="24"/>
              </w:rPr>
              <w:t>5.15</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 xml:space="preserve">1717人 </w:t>
            </w:r>
            <w:r>
              <w:rPr>
                <w:rFonts w:asciiTheme="minorEastAsia" w:hAnsiTheme="minorEastAsia" w:eastAsiaTheme="minorEastAsia"/>
                <w:bCs/>
                <w:sz w:val="24"/>
              </w:rPr>
              <w:t>k=</w:t>
            </w:r>
            <w:r>
              <w:rPr>
                <w:rFonts w:hint="eastAsia" w:asciiTheme="minorEastAsia" w:hAnsiTheme="minorEastAsia" w:eastAsiaTheme="minorEastAsia"/>
                <w:bCs/>
                <w:sz w:val="24"/>
              </w:rPr>
              <w:t>1.5</w:t>
            </w:r>
            <w:r>
              <w:rPr>
                <w:rFonts w:asciiTheme="minorEastAsia" w:hAnsiTheme="minorEastAsia" w:eastAsiaTheme="minorEastAsia"/>
                <w:bCs/>
                <w:sz w:val="24"/>
              </w:rPr>
              <w:t>,</w:t>
            </w:r>
            <w:r>
              <w:rPr>
                <w:rFonts w:hint="eastAsia" w:asciiTheme="minorEastAsia" w:hAnsiTheme="minorEastAsia" w:eastAsiaTheme="minorEastAsia"/>
                <w:bCs/>
                <w:sz w:val="24"/>
              </w:rPr>
              <w:t>12小时计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Height w:val="236" w:hRule="atLeas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4</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道路、绿化洒水</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2</w:t>
            </w:r>
            <w:r>
              <w:rPr>
                <w:rFonts w:asciiTheme="minorEastAsia" w:hAnsiTheme="minorEastAsia" w:eastAsiaTheme="minorEastAsia"/>
                <w:bCs/>
                <w:sz w:val="24"/>
              </w:rPr>
              <w:t>L/m</w:t>
            </w:r>
            <w:r>
              <w:rPr>
                <w:rFonts w:asciiTheme="minorEastAsia" w:hAnsiTheme="minorEastAsia" w:eastAsiaTheme="minorEastAsia"/>
                <w:spacing w:val="10"/>
                <w:sz w:val="24"/>
                <w:vertAlign w:val="superscript"/>
              </w:rPr>
              <w:t>2</w:t>
            </w:r>
            <w:r>
              <w:rPr>
                <w:rFonts w:asciiTheme="minorEastAsia" w:hAnsiTheme="minorEastAsia" w:eastAsiaTheme="minorEastAsia"/>
                <w:bCs/>
                <w:sz w:val="24"/>
              </w:rPr>
              <w:t>.</w:t>
            </w:r>
            <w:r>
              <w:rPr>
                <w:rFonts w:hint="eastAsia" w:asciiTheme="minorEastAsia" w:hAnsiTheme="minorEastAsia" w:eastAsiaTheme="minorEastAsia"/>
                <w:bCs/>
                <w:sz w:val="24"/>
              </w:rPr>
              <w:t>天</w:t>
            </w: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47.59 </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3.97 </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23793</w:t>
            </w:r>
            <w:r>
              <w:rPr>
                <w:rFonts w:asciiTheme="minorEastAsia" w:hAnsiTheme="minorEastAsia" w:eastAsiaTheme="minorEastAsia"/>
                <w:bCs/>
                <w:sz w:val="24"/>
              </w:rPr>
              <w:t>m</w:t>
            </w:r>
            <w:r>
              <w:rPr>
                <w:rFonts w:asciiTheme="minorEastAsia" w:hAnsiTheme="minorEastAsia" w:eastAsiaTheme="minorEastAsia"/>
                <w:spacing w:val="10"/>
                <w:sz w:val="24"/>
                <w:vertAlign w:val="superscript"/>
              </w:rPr>
              <w:t>2</w:t>
            </w:r>
            <w:r>
              <w:rPr>
                <w:rFonts w:asciiTheme="minorEastAsia" w:hAnsiTheme="minorEastAsia" w:eastAsiaTheme="minorEastAsia"/>
                <w:bCs/>
                <w:sz w:val="24"/>
              </w:rPr>
              <w:t xml:space="preserve">  k=1 ,</w:t>
            </w:r>
            <w:r>
              <w:rPr>
                <w:rFonts w:hint="eastAsia" w:asciiTheme="minorEastAsia" w:hAnsiTheme="minorEastAsia" w:eastAsiaTheme="minorEastAsia"/>
                <w:bCs/>
                <w:sz w:val="24"/>
              </w:rPr>
              <w:t>4小时计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5</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小    计</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151.58</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19.57 </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6</w:t>
            </w:r>
          </w:p>
        </w:tc>
        <w:tc>
          <w:tcPr>
            <w:tcW w:w="180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未预见水量</w:t>
            </w:r>
          </w:p>
        </w:tc>
        <w:tc>
          <w:tcPr>
            <w:tcW w:w="1629" w:type="dxa"/>
            <w:vAlign w:val="center"/>
          </w:tcPr>
          <w:p>
            <w:pPr>
              <w:adjustRightInd w:val="0"/>
              <w:snapToGrid w:val="0"/>
              <w:spacing w:line="360" w:lineRule="auto"/>
              <w:jc w:val="center"/>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0</w:t>
            </w:r>
            <w:r>
              <w:rPr>
                <w:rFonts w:asciiTheme="minorEastAsia" w:hAnsiTheme="minorEastAsia" w:eastAsiaTheme="minorEastAsia"/>
                <w:bCs/>
                <w:sz w:val="24"/>
              </w:rPr>
              <w:t>%</w:t>
            </w: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15.2 </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2 </w:t>
            </w:r>
          </w:p>
        </w:tc>
        <w:tc>
          <w:tcPr>
            <w:tcW w:w="2126" w:type="dxa"/>
            <w:vAlign w:val="center"/>
          </w:tcPr>
          <w:p>
            <w:pPr>
              <w:adjustRightInd w:val="0"/>
              <w:snapToGrid w:val="0"/>
              <w:spacing w:line="360" w:lineRule="auto"/>
              <w:jc w:val="center"/>
              <w:rPr>
                <w:rFonts w:asciiTheme="minorEastAsia" w:hAnsiTheme="minorEastAsia" w:eastAsiaTheme="minorEastAsia"/>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Ex>
        <w:trPr>
          <w:cantSplit/>
        </w:trPr>
        <w:tc>
          <w:tcPr>
            <w:tcW w:w="540" w:type="dxa"/>
            <w:vAlign w:val="center"/>
          </w:tcPr>
          <w:p>
            <w:pPr>
              <w:adjustRightInd w:val="0"/>
              <w:snapToGrid w:val="0"/>
              <w:spacing w:line="360" w:lineRule="auto"/>
              <w:jc w:val="center"/>
              <w:rPr>
                <w:rFonts w:asciiTheme="minorEastAsia" w:hAnsiTheme="minorEastAsia" w:eastAsiaTheme="minorEastAsia"/>
                <w:bCs/>
                <w:sz w:val="24"/>
              </w:rPr>
            </w:pPr>
            <w:r>
              <w:rPr>
                <w:rFonts w:hint="eastAsia" w:asciiTheme="minorEastAsia" w:hAnsiTheme="minorEastAsia" w:eastAsiaTheme="minorEastAsia"/>
                <w:bCs/>
                <w:sz w:val="24"/>
              </w:rPr>
              <w:t>7</w:t>
            </w:r>
          </w:p>
        </w:tc>
        <w:tc>
          <w:tcPr>
            <w:tcW w:w="1800" w:type="dxa"/>
            <w:vAlign w:val="center"/>
          </w:tcPr>
          <w:p>
            <w:pPr>
              <w:adjustRightInd w:val="0"/>
              <w:snapToGrid w:val="0"/>
              <w:spacing w:line="360" w:lineRule="auto"/>
              <w:ind w:firstLine="240" w:firstLineChars="100"/>
              <w:rPr>
                <w:rFonts w:asciiTheme="minorEastAsia" w:hAnsiTheme="minorEastAsia" w:eastAsiaTheme="minorEastAsia"/>
                <w:bCs/>
                <w:sz w:val="24"/>
              </w:rPr>
            </w:pPr>
            <w:r>
              <w:rPr>
                <w:rFonts w:hint="eastAsia" w:asciiTheme="minorEastAsia" w:hAnsiTheme="minorEastAsia" w:eastAsiaTheme="minorEastAsia"/>
                <w:bCs/>
                <w:sz w:val="24"/>
              </w:rPr>
              <w:t>总    计</w:t>
            </w:r>
          </w:p>
        </w:tc>
        <w:tc>
          <w:tcPr>
            <w:tcW w:w="1629" w:type="dxa"/>
            <w:vAlign w:val="center"/>
          </w:tcPr>
          <w:p>
            <w:pPr>
              <w:adjustRightInd w:val="0"/>
              <w:snapToGrid w:val="0"/>
              <w:spacing w:line="360" w:lineRule="auto"/>
              <w:rPr>
                <w:rFonts w:asciiTheme="minorEastAsia" w:hAnsiTheme="minorEastAsia" w:eastAsiaTheme="minorEastAsia"/>
                <w:bCs/>
                <w:sz w:val="24"/>
              </w:rPr>
            </w:pPr>
          </w:p>
        </w:tc>
        <w:tc>
          <w:tcPr>
            <w:tcW w:w="1071"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166.78 </w:t>
            </w:r>
          </w:p>
        </w:tc>
        <w:tc>
          <w:tcPr>
            <w:tcW w:w="1056" w:type="dxa"/>
            <w:vAlign w:val="center"/>
          </w:tcPr>
          <w:p>
            <w:pPr>
              <w:jc w:val="right"/>
              <w:rPr>
                <w:rFonts w:cs="宋体" w:asciiTheme="minorEastAsia" w:hAnsiTheme="minorEastAsia" w:eastAsiaTheme="minorEastAsia"/>
                <w:sz w:val="24"/>
              </w:rPr>
            </w:pPr>
            <w:r>
              <w:rPr>
                <w:rFonts w:hint="eastAsia" w:asciiTheme="minorEastAsia" w:hAnsiTheme="minorEastAsia" w:eastAsiaTheme="minorEastAsia"/>
                <w:sz w:val="24"/>
              </w:rPr>
              <w:t xml:space="preserve">21.57 </w:t>
            </w:r>
          </w:p>
        </w:tc>
        <w:tc>
          <w:tcPr>
            <w:tcW w:w="2126" w:type="dxa"/>
            <w:vAlign w:val="center"/>
          </w:tcPr>
          <w:p>
            <w:pPr>
              <w:adjustRightInd w:val="0"/>
              <w:snapToGrid w:val="0"/>
              <w:spacing w:line="360" w:lineRule="auto"/>
              <w:rPr>
                <w:rFonts w:asciiTheme="minorEastAsia" w:hAnsiTheme="minorEastAsia" w:eastAsiaTheme="minorEastAsia"/>
                <w:bCs/>
                <w:sz w:val="24"/>
              </w:rPr>
            </w:pPr>
          </w:p>
        </w:tc>
      </w:tr>
    </w:tbl>
    <w:p>
      <w:pPr>
        <w:snapToGrid w:val="0"/>
        <w:spacing w:beforeLines="50"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本校区生活总用水量为166.78</w:t>
      </w:r>
      <w:r>
        <w:rPr>
          <w:rFonts w:asciiTheme="minorEastAsia" w:hAnsiTheme="minorEastAsia" w:eastAsiaTheme="minorEastAsia"/>
          <w:bCs/>
          <w:sz w:val="24"/>
        </w:rPr>
        <w:t xml:space="preserve"> m</w:t>
      </w:r>
      <w:r>
        <w:rPr>
          <w:rFonts w:asciiTheme="minorEastAsia" w:hAnsiTheme="minorEastAsia" w:eastAsiaTheme="minorEastAsia"/>
          <w:bCs/>
          <w:sz w:val="24"/>
          <w:vertAlign w:val="superscript"/>
        </w:rPr>
        <w:t>3</w:t>
      </w:r>
      <w:r>
        <w:rPr>
          <w:rFonts w:asciiTheme="minorEastAsia" w:hAnsiTheme="minorEastAsia" w:eastAsiaTheme="minorEastAsia"/>
          <w:bCs/>
          <w:sz w:val="24"/>
        </w:rPr>
        <w:t>/d</w:t>
      </w:r>
      <w:r>
        <w:rPr>
          <w:rFonts w:hint="eastAsia" w:asciiTheme="minorEastAsia" w:hAnsiTheme="minorEastAsia" w:eastAsiaTheme="minorEastAsia"/>
          <w:bCs/>
          <w:sz w:val="24"/>
        </w:rPr>
        <w:t>。</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教学楼、宿舍设直饮水系统。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室内给水管管材选用</w:t>
      </w:r>
      <w:r>
        <w:rPr>
          <w:rFonts w:hint="eastAsia" w:asciiTheme="minorEastAsia" w:hAnsiTheme="minorEastAsia" w:eastAsiaTheme="minorEastAsia"/>
          <w:spacing w:val="10"/>
          <w:sz w:val="24"/>
        </w:rPr>
        <w:t>钢塑复合管</w:t>
      </w:r>
      <w:r>
        <w:rPr>
          <w:rFonts w:hint="eastAsia" w:asciiTheme="minorEastAsia" w:hAnsiTheme="minorEastAsia" w:eastAsiaTheme="minorEastAsia"/>
          <w:bCs/>
          <w:sz w:val="24"/>
        </w:rPr>
        <w:t>，热水采用PPR管，室外给水管材采用</w:t>
      </w:r>
      <w:r>
        <w:rPr>
          <w:rFonts w:hint="eastAsia" w:asciiTheme="minorEastAsia" w:hAnsiTheme="minorEastAsia" w:eastAsiaTheme="minorEastAsia"/>
          <w:spacing w:val="10"/>
          <w:sz w:val="24"/>
        </w:rPr>
        <w:t>离心球墨铸铁给水管</w:t>
      </w:r>
      <w:r>
        <w:rPr>
          <w:rFonts w:hint="eastAsia" w:asciiTheme="minorEastAsia" w:hAnsiTheme="minorEastAsia" w:eastAsiaTheme="minorEastAsia"/>
          <w:bCs/>
          <w:sz w:val="24"/>
        </w:rPr>
        <w:t>。卫生器具均选用节水、节能3型产品。</w:t>
      </w:r>
    </w:p>
    <w:p>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（四）排水系统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排水体制：雨水、污水采用分流制。</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1、雨水排水系统：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（1）屋面雨水量计算采用珠海市暴雨强度公式：</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q</w:t>
      </w:r>
      <w:r>
        <w:rPr>
          <w:rFonts w:hint="eastAsia" w:asciiTheme="minorEastAsia" w:hAnsiTheme="minorEastAsia" w:eastAsiaTheme="minorEastAsia"/>
          <w:bCs/>
          <w:sz w:val="24"/>
        </w:rPr>
        <w:t>＝1338.3005</w:t>
      </w:r>
      <w:r>
        <w:rPr>
          <w:rFonts w:asciiTheme="minorEastAsia" w:hAnsiTheme="minorEastAsia" w:eastAsiaTheme="minorEastAsia"/>
          <w:bCs/>
          <w:sz w:val="24"/>
        </w:rPr>
        <w:t xml:space="preserve"> /(t+</w:t>
      </w:r>
      <w:r>
        <w:rPr>
          <w:rFonts w:hint="eastAsia" w:asciiTheme="minorEastAsia" w:hAnsiTheme="minorEastAsia" w:eastAsiaTheme="minorEastAsia"/>
          <w:bCs/>
          <w:sz w:val="24"/>
        </w:rPr>
        <w:t>1.5471</w:t>
      </w:r>
      <w:r>
        <w:rPr>
          <w:rFonts w:asciiTheme="minorEastAsia" w:hAnsiTheme="minorEastAsia" w:eastAsiaTheme="minorEastAsia"/>
          <w:bCs/>
          <w:sz w:val="24"/>
        </w:rPr>
        <w:t xml:space="preserve">) </w:t>
      </w:r>
      <w:r>
        <w:rPr>
          <w:rFonts w:asciiTheme="minorEastAsia" w:hAnsiTheme="minorEastAsia" w:eastAsiaTheme="minorEastAsia"/>
          <w:bCs/>
          <w:sz w:val="24"/>
        </w:rPr>
        <w:object>
          <v:shape id="_x0000_i1025" o:spt="75" type="#_x0000_t75" style="height:15.9pt;width:22.4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asciiTheme="minorEastAsia" w:hAnsiTheme="minorEastAsia" w:eastAsiaTheme="minorEastAsia"/>
          <w:bCs/>
          <w:sz w:val="24"/>
        </w:rPr>
        <w:t>(L/s</w:t>
      </w:r>
      <w:r>
        <w:rPr>
          <w:rFonts w:hint="eastAsia" w:asciiTheme="minorEastAsia" w:hAnsiTheme="minorEastAsia" w:eastAsiaTheme="minorEastAsia"/>
          <w:bCs/>
          <w:sz w:val="24"/>
        </w:rPr>
        <w:t>·</w:t>
      </w:r>
      <w:r>
        <w:rPr>
          <w:rFonts w:asciiTheme="minorEastAsia" w:hAnsiTheme="minorEastAsia" w:eastAsiaTheme="minorEastAsia"/>
          <w:bCs/>
          <w:sz w:val="24"/>
        </w:rPr>
        <w:t>ha)</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设计降雨历时5min,重现期</w:t>
      </w:r>
      <w:r>
        <w:rPr>
          <w:rFonts w:asciiTheme="minorEastAsia" w:hAnsiTheme="minorEastAsia" w:eastAsiaTheme="minorEastAsia"/>
          <w:bCs/>
          <w:sz w:val="24"/>
        </w:rPr>
        <w:t>P=</w:t>
      </w:r>
      <w:r>
        <w:rPr>
          <w:rFonts w:hint="eastAsia" w:asciiTheme="minorEastAsia" w:hAnsiTheme="minorEastAsia" w:eastAsiaTheme="minorEastAsia"/>
          <w:bCs/>
          <w:sz w:val="24"/>
        </w:rPr>
        <w:t>10年。</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（2）室外场地雨水量计算采用珠海市暴雨强度公式：</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q</w:t>
      </w:r>
      <w:r>
        <w:rPr>
          <w:rFonts w:hint="eastAsia" w:asciiTheme="minorEastAsia" w:hAnsiTheme="minorEastAsia" w:eastAsiaTheme="minorEastAsia"/>
          <w:bCs/>
          <w:sz w:val="24"/>
        </w:rPr>
        <w:t>＝1622.7177</w:t>
      </w:r>
      <w:r>
        <w:rPr>
          <w:rFonts w:asciiTheme="minorEastAsia" w:hAnsiTheme="minorEastAsia" w:eastAsiaTheme="minorEastAsia"/>
          <w:bCs/>
          <w:sz w:val="24"/>
        </w:rPr>
        <w:t xml:space="preserve"> /(t+</w:t>
      </w:r>
      <w:r>
        <w:rPr>
          <w:rFonts w:hint="eastAsia" w:asciiTheme="minorEastAsia" w:hAnsiTheme="minorEastAsia" w:eastAsiaTheme="minorEastAsia"/>
          <w:bCs/>
          <w:sz w:val="24"/>
        </w:rPr>
        <w:t>4.5287</w:t>
      </w:r>
      <w:r>
        <w:rPr>
          <w:rFonts w:asciiTheme="minorEastAsia" w:hAnsiTheme="minorEastAsia" w:eastAsiaTheme="minorEastAsia"/>
          <w:bCs/>
          <w:sz w:val="24"/>
        </w:rPr>
        <w:t xml:space="preserve">) </w:t>
      </w:r>
      <w:r>
        <w:rPr>
          <w:rFonts w:asciiTheme="minorEastAsia" w:hAnsiTheme="minorEastAsia" w:eastAsiaTheme="minorEastAsia"/>
          <w:bCs/>
          <w:sz w:val="24"/>
        </w:rPr>
        <w:object>
          <v:shape id="_x0000_i1026" o:spt="75" type="#_x0000_t75" style="height:15.9pt;width:22.4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asciiTheme="minorEastAsia" w:hAnsiTheme="minorEastAsia" w:eastAsiaTheme="minorEastAsia"/>
          <w:bCs/>
          <w:sz w:val="24"/>
        </w:rPr>
        <w:t>(L/s</w:t>
      </w:r>
      <w:r>
        <w:rPr>
          <w:rFonts w:hint="eastAsia" w:asciiTheme="minorEastAsia" w:hAnsiTheme="minorEastAsia" w:eastAsiaTheme="minorEastAsia"/>
          <w:bCs/>
          <w:sz w:val="24"/>
        </w:rPr>
        <w:t>·</w:t>
      </w:r>
      <w:r>
        <w:rPr>
          <w:rFonts w:asciiTheme="minorEastAsia" w:hAnsiTheme="minorEastAsia" w:eastAsiaTheme="minorEastAsia"/>
          <w:bCs/>
          <w:sz w:val="24"/>
        </w:rPr>
        <w:t>ha)</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设计降雨历时10min,重现期</w:t>
      </w:r>
      <w:r>
        <w:rPr>
          <w:rFonts w:asciiTheme="minorEastAsia" w:hAnsiTheme="minorEastAsia" w:eastAsiaTheme="minorEastAsia"/>
          <w:bCs/>
          <w:sz w:val="24"/>
        </w:rPr>
        <w:t>P=</w:t>
      </w:r>
      <w:r>
        <w:rPr>
          <w:rFonts w:hint="eastAsia" w:asciiTheme="minorEastAsia" w:hAnsiTheme="minorEastAsia" w:eastAsiaTheme="minorEastAsia"/>
          <w:bCs/>
          <w:sz w:val="24"/>
        </w:rPr>
        <w:t>5年。</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项目年可收集雨水量＝0.625×14649.20×0.9×0.85×0.80＝0.56万m</w:t>
      </w:r>
      <w:r>
        <w:rPr>
          <w:rFonts w:hint="eastAsia" w:asciiTheme="minorEastAsia" w:hAnsiTheme="minorEastAsia" w:eastAsiaTheme="minorEastAsia"/>
          <w:bCs/>
          <w:sz w:val="24"/>
          <w:vertAlign w:val="superscript"/>
        </w:rPr>
        <w:t>3</w:t>
      </w:r>
      <w:r>
        <w:rPr>
          <w:rFonts w:hint="eastAsia" w:asciiTheme="minorEastAsia" w:hAnsiTheme="minorEastAsia" w:eastAsiaTheme="minorEastAsia"/>
          <w:bCs/>
          <w:sz w:val="24"/>
        </w:rPr>
        <w:t>，雨水收集后排至用地南面情侣北路市政雨水管渠或进行绿化浇灌。</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室内雨水管采用PVC-U</w:t>
      </w:r>
      <w:r>
        <w:rPr>
          <w:rFonts w:asciiTheme="minorEastAsia" w:hAnsiTheme="minorEastAsia" w:eastAsiaTheme="minorEastAsia"/>
          <w:bCs/>
          <w:sz w:val="24"/>
        </w:rPr>
        <w:t>排水管及其管件</w:t>
      </w:r>
      <w:r>
        <w:rPr>
          <w:rFonts w:hint="eastAsia" w:asciiTheme="minorEastAsia" w:hAnsiTheme="minorEastAsia" w:eastAsiaTheme="minorEastAsia"/>
          <w:bCs/>
          <w:sz w:val="24"/>
        </w:rPr>
        <w:t xml:space="preserve">，与潜污泵连接的管道采用内涂塑钢管，室外雨水管采用双壁波纹排水管。道路雨水箅子及雨水检查井盖采用再生树脂复合材料制成品。 </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2、污废水排水系统：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建筑内所产生污、废水合流通过立管及排出管排入室外污水检查井，经室外污水管道收集汇合后，送入化粪池处理；食堂废水收集经隔油池处理，经化粪池、隔油池处理后的污水，经室外管道排至市政污水管，经市政污水处理厂处理后达标排放至水体。</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本校区污水排水量按用水量的90%计，约为95.16</w:t>
      </w:r>
      <w:r>
        <w:rPr>
          <w:rFonts w:asciiTheme="minorEastAsia" w:hAnsiTheme="minorEastAsia" w:eastAsiaTheme="minorEastAsia"/>
          <w:bCs/>
          <w:sz w:val="24"/>
        </w:rPr>
        <w:t xml:space="preserve"> m</w:t>
      </w:r>
      <w:r>
        <w:rPr>
          <w:rFonts w:asciiTheme="minorEastAsia" w:hAnsiTheme="minorEastAsia" w:eastAsiaTheme="minorEastAsia"/>
          <w:bCs/>
          <w:sz w:val="24"/>
          <w:vertAlign w:val="superscript"/>
        </w:rPr>
        <w:t>3</w:t>
      </w:r>
      <w:r>
        <w:rPr>
          <w:rFonts w:asciiTheme="minorEastAsia" w:hAnsiTheme="minorEastAsia" w:eastAsiaTheme="minorEastAsia"/>
          <w:bCs/>
          <w:sz w:val="24"/>
        </w:rPr>
        <w:t>/d</w:t>
      </w:r>
      <w:r>
        <w:rPr>
          <w:rFonts w:hint="eastAsia" w:asciiTheme="minorEastAsia" w:hAnsiTheme="minorEastAsia" w:eastAsiaTheme="minorEastAsia"/>
          <w:bCs/>
          <w:sz w:val="24"/>
        </w:rPr>
        <w:t>。</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室内污水管采用PVC-U</w:t>
      </w:r>
      <w:r>
        <w:rPr>
          <w:rFonts w:asciiTheme="minorEastAsia" w:hAnsiTheme="minorEastAsia" w:eastAsiaTheme="minorEastAsia"/>
          <w:bCs/>
          <w:sz w:val="24"/>
        </w:rPr>
        <w:t>排水管及其管件</w:t>
      </w:r>
      <w:r>
        <w:rPr>
          <w:rFonts w:hint="eastAsia" w:asciiTheme="minorEastAsia" w:hAnsiTheme="minorEastAsia" w:eastAsiaTheme="minorEastAsia"/>
          <w:bCs/>
          <w:sz w:val="24"/>
        </w:rPr>
        <w:t>，室外污水管采用PE双壁波纹排水管。污水检查井盖采用再生树脂复合材料制成品。</w:t>
      </w:r>
    </w:p>
    <w:p>
      <w:pPr>
        <w:spacing w:line="360" w:lineRule="auto"/>
        <w:ind w:firstLine="480"/>
        <w:rPr>
          <w:rFonts w:asciiTheme="minorEastAsia" w:hAnsiTheme="minorEastAsia" w:eastAsiaTheme="minorEastAsia"/>
          <w:bCs/>
          <w:color w:val="000000" w:themeColor="text1"/>
          <w:sz w:val="24"/>
        </w:rPr>
      </w:pPr>
      <w:r>
        <w:rPr>
          <w:rFonts w:hint="eastAsia" w:asciiTheme="minorEastAsia" w:hAnsiTheme="minorEastAsia" w:eastAsiaTheme="minorEastAsia"/>
          <w:bCs/>
          <w:color w:val="000000" w:themeColor="text1"/>
          <w:sz w:val="24"/>
        </w:rPr>
        <w:t>3、实验室污废水处理措施：</w:t>
      </w:r>
    </w:p>
    <w:p>
      <w:pPr>
        <w:spacing w:line="360" w:lineRule="auto"/>
        <w:ind w:firstLine="480" w:firstLineChars="200"/>
        <w:rPr>
          <w:rFonts w:asciiTheme="minorEastAsia" w:hAnsiTheme="minorEastAsia" w:eastAsiaTheme="minorEastAsia"/>
          <w:b/>
          <w:bCs/>
          <w:sz w:val="24"/>
        </w:rPr>
      </w:pPr>
      <w:r>
        <w:rPr>
          <w:rFonts w:asciiTheme="minorEastAsia" w:hAnsiTheme="minorEastAsia" w:eastAsiaTheme="minorEastAsia"/>
          <w:bCs/>
          <w:color w:val="000000" w:themeColor="text1"/>
          <w:sz w:val="24"/>
        </w:rPr>
        <w:t>高校实验室废水量少，间断性强，危害性高，污染物的组成不同，从而导致处理的原理和方法不同，因此，处理这类废水有一定难度。目前处理此类实验室污水比较成熟的方法有以下几种。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1 絮凝沉淀法</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此方法适用于含有重金属离子较多的无机实验废水。当确定了废水中的重金属离子后，选出合适的絮凝剂，比如石灰、铁盐、铝盐等，在弱碱性条件下可形成Mn(OH)2、Fe(OH)3、Al(OH)3等絮凝状沉淀，同时这些絮状沉淀也具有吸附作用，可以在去除重金属离子的同时，去除部分水中的其他污染物，降低水中化学需氧量，提高废水的可生化性。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2 硫化物沉淀法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此方法主要针对含有镉、铅、汞等重金属较多的实验室污水，一般是用Na2S或NaHS把废水中的重金属转变为难溶于水的金属硫化物，再和Fe(OH)3共沉淀进行分离。具体做法：将废水的PH值调到8.0-10.0，向废水中加入过量的Na2S，使其生成硫化物沉淀，再加入FeSO4作为共沉淀剂，生成的FeS将水中悬浮的金属硫离子吸附而形成共沉淀，静置、分离并过滤。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3 氧化还原中和沉淀法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此方法的原理是：成离子状态的无机金属离子可以利用一些还原剂将其转化为金属单质，再经过分离。常用的还原剂有Fe、Zn、NaBH4、等。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4 活性炭吸附法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此方法多用于去除用化学或物理方法不能去除的微量溶解状态的有机物。具体处理方法：将废水分为有机和无机两相并分离，再用活性炭进行二次吸附，这种方法的化学需氧量去除率可达93%，同时活性炭还能吸附部分无机金属离子。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5 焚烧法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此方法适用于可形成乳浊液之类的废液。但要避免因使用此方法而造成二次污染。例如，只含有碳、氢、氧元素的有机废物在燃烧时一般不会造成二次污染，而含有卤素、氮，硫等元素的有机废物焚烧时将会产生NO、NO2、SO2等多种有毒气体，此时就应该考虑采用其它的方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6 处理含重金属离子实验废水的其它方法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在处理含重金属离子的废水方法中，除了以上的硫化物和絮凝沉淀法外，还有电解凝聚法、吸附法、磁分离法及还原离心法、离子交换法[8]等。比如利用还原离心法去除重金属离子时，在6 000r/min条件下反应30min，汞离子的去除率达到100%，铅离子可达98.3%。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7 高浓度有机废水处理方法 </w:t>
      </w:r>
      <w:r>
        <w:rPr>
          <w:rFonts w:asciiTheme="minorEastAsia" w:hAnsiTheme="minorEastAsia" w:eastAsiaTheme="minorEastAsia"/>
          <w:bCs/>
          <w:color w:val="000000" w:themeColor="text1"/>
          <w:sz w:val="24"/>
        </w:rPr>
        <w:br w:type="textWrapping"/>
      </w:r>
      <w:r>
        <w:rPr>
          <w:rFonts w:asciiTheme="minorEastAsia" w:hAnsiTheme="minorEastAsia" w:eastAsiaTheme="minorEastAsia"/>
          <w:bCs/>
          <w:color w:val="000000" w:themeColor="text1"/>
          <w:sz w:val="24"/>
        </w:rPr>
        <w:t>　　处理高浓度的有机废水除了可以用上述的焚烧法和活性炭吸附法外，还可以利用溶剂萃取法、氧化分解法、水解法以及生物化学处理法等。例如厦门大学开发的高浓度有机废水水解―好氧循环一体生物处理技术，可实现高浓度有机废水的高效生物处理。</w:t>
      </w:r>
      <w:r>
        <w:rPr>
          <w:rFonts w:asciiTheme="minorEastAsia" w:hAnsiTheme="minorEastAsia" w:eastAsiaTheme="minorEastAsia"/>
          <w:bCs/>
          <w:color w:val="FF0000"/>
          <w:sz w:val="24"/>
        </w:rPr>
        <w:t> </w:t>
      </w:r>
      <w:r>
        <w:rPr>
          <w:rFonts w:asciiTheme="minorEastAsia" w:hAnsiTheme="minorEastAsia" w:eastAsiaTheme="minorEastAsia"/>
          <w:bCs/>
          <w:sz w:val="24"/>
        </w:rPr>
        <w:br w:type="textWrapping"/>
      </w:r>
      <w:r>
        <w:rPr>
          <w:rFonts w:asciiTheme="minorEastAsia" w:hAnsiTheme="minorEastAsia" w:eastAsiaTheme="minorEastAsia"/>
          <w:bCs/>
          <w:sz w:val="24"/>
        </w:rPr>
        <w:t>　　</w:t>
      </w:r>
      <w:r>
        <w:rPr>
          <w:rFonts w:hint="eastAsia" w:asciiTheme="minorEastAsia" w:hAnsiTheme="minorEastAsia" w:eastAsiaTheme="minorEastAsia"/>
          <w:b/>
          <w:bCs/>
          <w:sz w:val="24"/>
        </w:rPr>
        <w:t>（五）、节能、节水、节地、节材措施</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低区生活用水由市政管网直供，充分利用了市政水压，保证了用水安全卫生，达到了节能的目的。雨水优先考虑下渗，补充地下水位，保持了生态平衡；同时将大流量雨水进行收集，处理达标后回用于道路浇洒、绿化灌溉，起到节约用水的功效。采用节水型卫生器具，并选用</w:t>
      </w:r>
      <w:r>
        <w:rPr>
          <w:rFonts w:asciiTheme="minorEastAsia" w:hAnsiTheme="minorEastAsia" w:eastAsiaTheme="minorEastAsia"/>
          <w:bCs/>
          <w:sz w:val="24"/>
        </w:rPr>
        <w:t xml:space="preserve">3/6L </w:t>
      </w:r>
      <w:r>
        <w:rPr>
          <w:rFonts w:hint="eastAsia" w:asciiTheme="minorEastAsia" w:hAnsiTheme="minorEastAsia" w:eastAsiaTheme="minorEastAsia"/>
          <w:bCs/>
          <w:sz w:val="24"/>
        </w:rPr>
        <w:t>坐便器，一次冲水量不大于</w:t>
      </w:r>
      <w:r>
        <w:rPr>
          <w:rFonts w:asciiTheme="minorEastAsia" w:hAnsiTheme="minorEastAsia" w:eastAsiaTheme="minorEastAsia"/>
          <w:bCs/>
          <w:sz w:val="24"/>
        </w:rPr>
        <w:t>6L</w:t>
      </w:r>
      <w:r>
        <w:rPr>
          <w:rFonts w:hint="eastAsia" w:asciiTheme="minorEastAsia" w:hAnsiTheme="minorEastAsia" w:eastAsiaTheme="minorEastAsia"/>
          <w:bCs/>
          <w:sz w:val="24"/>
        </w:rPr>
        <w:t>。</w:t>
      </w:r>
    </w:p>
    <w:p>
      <w:pPr>
        <w:pStyle w:val="3"/>
      </w:pPr>
      <w:bookmarkStart w:id="54" w:name="_Toc509586060"/>
      <w:bookmarkStart w:id="55" w:name="_Toc515980401"/>
      <w:r>
        <w:rPr>
          <w:rFonts w:hint="eastAsia"/>
        </w:rPr>
        <w:t>6.2  供电工程</w:t>
      </w:r>
      <w:bookmarkEnd w:id="54"/>
      <w:bookmarkEnd w:id="55"/>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一、本工程拟设置的建筑电气系统</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．强电设计：</w:t>
      </w:r>
      <w:r>
        <w:rPr>
          <w:rFonts w:asciiTheme="minorEastAsia" w:hAnsiTheme="minorEastAsia" w:eastAsiaTheme="minorEastAsia"/>
          <w:bCs/>
          <w:sz w:val="24"/>
        </w:rPr>
        <w:t xml:space="preserve">10/0.4kV </w:t>
      </w:r>
      <w:r>
        <w:rPr>
          <w:rFonts w:hint="eastAsia" w:asciiTheme="minorEastAsia" w:hAnsiTheme="minorEastAsia" w:eastAsiaTheme="minorEastAsia"/>
          <w:bCs/>
          <w:sz w:val="24"/>
        </w:rPr>
        <w:t>变、配电系统；电力系统；照明系统；建筑物防雷及接地系统；漏电火灾报警系统、火灾自动报警系统；电力监控系统等；智能照明系统。</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2</w:t>
      </w:r>
      <w:r>
        <w:rPr>
          <w:rFonts w:hint="eastAsia" w:asciiTheme="minorEastAsia" w:hAnsiTheme="minorEastAsia" w:eastAsiaTheme="minorEastAsia"/>
          <w:bCs/>
          <w:sz w:val="24"/>
        </w:rPr>
        <w:t>．弱电设计：信息设施系统（通信接入系统、电话交换系统、信息网络系统、综合布线系统、有线电视系统、广播系统、信息导引及发布系统）；安全防范系统（安防视频监控系统）；智能卡应用系统等弱电系统。</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二、设计依据</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1、国家有关设计标准、规范：</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《城市电力规划规范》GB 50293-1999 </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《城市工程管线综合规划规范》GB 50289-98 </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《民用建筑电气设计规范》JGJ16-2008</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《供配电系统设计规范》GB50052-2009</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《10kV及以下变电所设计规范》GB50053-94</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《电力工程电缆设计规范》GB50217-2007</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《智能建筑设计标准》GB/T 50314-2006</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《有线电视系统工程技术规范》GB50200-94</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《综合布线系统工程设计规范》GB/T 50311-2007</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《视频安防监控系统工程设计规范》GB50395-2007</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《安全防范工程技术规范》GB50348-2004</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 xml:space="preserve"> 《中小学校设计规范》GB 50099-2011</w:t>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2、业主提供的原始条件和要求。</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三、电气设计</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（一）变、配电系统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1、负荷等级：</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本工程应急照明、消防设备用电属于二级负荷，其他负荷均属于三级负荷。</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2、负荷估算</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用电指标：</w:t>
      </w:r>
      <w:r>
        <w:rPr>
          <w:rFonts w:hint="eastAsia" w:ascii="宋体" w:hAnsi="宋体"/>
          <w:sz w:val="24"/>
          <w:szCs w:val="28"/>
        </w:rPr>
        <w:t>珠海</w:t>
      </w:r>
      <w:r>
        <w:rPr>
          <w:rFonts w:hint="eastAsia" w:asciiTheme="minorEastAsia" w:hAnsiTheme="minorEastAsia" w:eastAsiaTheme="minorEastAsia"/>
          <w:bCs/>
          <w:sz w:val="24"/>
        </w:rPr>
        <w:t>汇华实验学校用电负荷预测采用综合用电指标法，根据不同建筑单位建筑面积用电负荷的确定，测算整个建筑的用电量，进而计算该校区的总用电负荷。参考类同院校用电负荷指标及各类建筑单体的用电指标，校区主要建筑用电为教育办公用房用电，负荷指标规划为60W/</w:t>
      </w:r>
      <w:r>
        <w:rPr>
          <w:rFonts w:asciiTheme="minorEastAsia" w:hAnsiTheme="minorEastAsia" w:eastAsiaTheme="minorEastAsia"/>
          <w:bCs/>
          <w:sz w:val="24"/>
        </w:rPr>
        <w:t>m</w:t>
      </w:r>
      <w:r>
        <w:rPr>
          <w:rFonts w:hint="eastAsia" w:asciiTheme="minorEastAsia" w:hAnsiTheme="minorEastAsia" w:eastAsiaTheme="minorEastAsia"/>
          <w:bCs/>
          <w:sz w:val="24"/>
        </w:rPr>
        <w:t>²~</w:t>
      </w:r>
      <w:r>
        <w:rPr>
          <w:rFonts w:asciiTheme="minorEastAsia" w:hAnsiTheme="minorEastAsia" w:eastAsiaTheme="minorEastAsia"/>
          <w:bCs/>
          <w:sz w:val="24"/>
        </w:rPr>
        <w:t xml:space="preserve"> 80</w:t>
      </w:r>
      <w:r>
        <w:rPr>
          <w:rFonts w:hint="eastAsia" w:asciiTheme="minorEastAsia" w:hAnsiTheme="minorEastAsia" w:eastAsiaTheme="minorEastAsia"/>
          <w:bCs/>
          <w:sz w:val="24"/>
        </w:rPr>
        <w:t xml:space="preserve"> W/</w:t>
      </w:r>
      <w:r>
        <w:rPr>
          <w:rFonts w:asciiTheme="minorEastAsia" w:hAnsiTheme="minorEastAsia" w:eastAsiaTheme="minorEastAsia"/>
          <w:bCs/>
          <w:sz w:val="24"/>
        </w:rPr>
        <w:t>m</w:t>
      </w:r>
      <w:r>
        <w:rPr>
          <w:rFonts w:hint="eastAsia" w:asciiTheme="minorEastAsia" w:hAnsiTheme="minorEastAsia" w:eastAsiaTheme="minorEastAsia"/>
          <w:bCs/>
          <w:sz w:val="24"/>
        </w:rPr>
        <w:t>²。</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符合估算：校区总建筑面积38276.77</w:t>
      </w:r>
      <w:r>
        <w:rPr>
          <w:rFonts w:hint="eastAsia" w:ascii="宋体" w:hAnsi="宋体"/>
          <w:bCs/>
          <w:sz w:val="24"/>
        </w:rPr>
        <w:t>㎡</w:t>
      </w:r>
      <w:r>
        <w:rPr>
          <w:rFonts w:hint="eastAsia" w:asciiTheme="minorEastAsia" w:hAnsiTheme="minorEastAsia" w:eastAsiaTheme="minorEastAsia"/>
          <w:bCs/>
          <w:sz w:val="24"/>
        </w:rPr>
        <w:t>，大部分为教学用房，校区用电需要系数</w:t>
      </w:r>
      <w:r>
        <w:rPr>
          <w:rFonts w:asciiTheme="minorEastAsia" w:hAnsiTheme="minorEastAsia" w:eastAsiaTheme="minorEastAsia"/>
          <w:bCs/>
          <w:sz w:val="24"/>
        </w:rPr>
        <w:t>Kx</w:t>
      </w:r>
      <w:r>
        <w:rPr>
          <w:rFonts w:hint="eastAsia" w:asciiTheme="minorEastAsia" w:hAnsiTheme="minorEastAsia" w:eastAsiaTheme="minorEastAsia"/>
          <w:bCs/>
          <w:sz w:val="24"/>
        </w:rPr>
        <w:t>取0.8，总用电计算负荷为1431.55千瓦</w:t>
      </w:r>
      <w:r>
        <w:rPr>
          <w:rFonts w:asciiTheme="minorEastAsia" w:hAnsiTheme="minorEastAsia" w:eastAsiaTheme="minorEastAsia"/>
          <w:bCs/>
          <w:sz w:val="24"/>
        </w:rPr>
        <w:t xml:space="preserve">, </w:t>
      </w:r>
      <w:r>
        <w:rPr>
          <w:rFonts w:hint="eastAsia" w:asciiTheme="minorEastAsia" w:hAnsiTheme="minorEastAsia" w:eastAsiaTheme="minorEastAsia"/>
          <w:bCs/>
          <w:sz w:val="24"/>
        </w:rPr>
        <w:t>安装1台80</w:t>
      </w:r>
      <w:r>
        <w:rPr>
          <w:rFonts w:asciiTheme="minorEastAsia" w:hAnsiTheme="minorEastAsia" w:eastAsiaTheme="minorEastAsia"/>
          <w:bCs/>
          <w:sz w:val="24"/>
        </w:rPr>
        <w:t xml:space="preserve">0kVA </w:t>
      </w:r>
      <w:r>
        <w:rPr>
          <w:rFonts w:hint="eastAsia" w:asciiTheme="minorEastAsia" w:hAnsiTheme="minorEastAsia" w:eastAsiaTheme="minorEastAsia"/>
          <w:bCs/>
          <w:sz w:val="24"/>
        </w:rPr>
        <w:t>和1台1000</w:t>
      </w:r>
      <w:r>
        <w:rPr>
          <w:rFonts w:asciiTheme="minorEastAsia" w:hAnsiTheme="minorEastAsia" w:eastAsiaTheme="minorEastAsia"/>
          <w:bCs/>
          <w:sz w:val="24"/>
        </w:rPr>
        <w:t xml:space="preserve"> kVA</w:t>
      </w:r>
      <w:r>
        <w:rPr>
          <w:rFonts w:hint="eastAsia" w:asciiTheme="minorEastAsia" w:hAnsiTheme="minorEastAsia" w:eastAsiaTheme="minorEastAsia"/>
          <w:bCs/>
          <w:sz w:val="24"/>
        </w:rPr>
        <w:t>变压器，总安装容量为</w:t>
      </w:r>
      <w:r>
        <w:rPr>
          <w:rFonts w:asciiTheme="minorEastAsia" w:hAnsiTheme="minorEastAsia" w:eastAsiaTheme="minorEastAsia"/>
          <w:bCs/>
          <w:sz w:val="24"/>
        </w:rPr>
        <w:t>1</w:t>
      </w:r>
      <w:r>
        <w:rPr>
          <w:rFonts w:hint="eastAsia" w:asciiTheme="minorEastAsia" w:hAnsiTheme="minorEastAsia" w:eastAsiaTheme="minorEastAsia"/>
          <w:bCs/>
          <w:sz w:val="24"/>
        </w:rPr>
        <w:t>80</w:t>
      </w:r>
      <w:r>
        <w:rPr>
          <w:rFonts w:asciiTheme="minorEastAsia" w:hAnsiTheme="minorEastAsia" w:eastAsiaTheme="minorEastAsia"/>
          <w:bCs/>
          <w:sz w:val="24"/>
        </w:rPr>
        <w:t>0kVA</w:t>
      </w:r>
      <w:r>
        <w:rPr>
          <w:rFonts w:hint="eastAsia" w:asciiTheme="minorEastAsia" w:hAnsiTheme="minorEastAsia" w:eastAsiaTheme="minorEastAsia"/>
          <w:bCs/>
          <w:sz w:val="24"/>
        </w:rPr>
        <w:t>。</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3、供电电源及电压等级</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本工程电源从市政引来一回</w:t>
      </w:r>
      <w:r>
        <w:rPr>
          <w:rFonts w:asciiTheme="minorEastAsia" w:hAnsiTheme="minorEastAsia" w:eastAsiaTheme="minorEastAsia"/>
          <w:bCs/>
          <w:sz w:val="24"/>
        </w:rPr>
        <w:t xml:space="preserve">10kV </w:t>
      </w:r>
      <w:r>
        <w:rPr>
          <w:rFonts w:hint="eastAsia" w:asciiTheme="minorEastAsia" w:hAnsiTheme="minorEastAsia" w:eastAsiaTheme="minorEastAsia"/>
          <w:bCs/>
          <w:sz w:val="24"/>
        </w:rPr>
        <w:t>线路。二级负荷备用电源由本项目发电机配电柜引来。</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（1）高压线路</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校区规划设置一座变配电所。</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采用环网供电，10</w:t>
      </w:r>
      <w:r>
        <w:rPr>
          <w:rFonts w:asciiTheme="minorEastAsia" w:hAnsiTheme="minorEastAsia" w:eastAsiaTheme="minorEastAsia"/>
          <w:bCs/>
          <w:sz w:val="24"/>
        </w:rPr>
        <w:t>kV</w:t>
      </w:r>
      <w:r>
        <w:rPr>
          <w:rFonts w:hint="eastAsia" w:asciiTheme="minorEastAsia" w:hAnsiTheme="minorEastAsia" w:eastAsiaTheme="minorEastAsia"/>
          <w:bCs/>
          <w:sz w:val="24"/>
        </w:rPr>
        <w:t>电源线由市网引入。</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（2）低压线路</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10</w:t>
      </w:r>
      <w:r>
        <w:rPr>
          <w:rFonts w:asciiTheme="minorEastAsia" w:hAnsiTheme="minorEastAsia" w:eastAsiaTheme="minorEastAsia"/>
          <w:bCs/>
          <w:sz w:val="24"/>
        </w:rPr>
        <w:t>kV</w:t>
      </w:r>
      <w:r>
        <w:rPr>
          <w:rFonts w:hint="eastAsia" w:asciiTheme="minorEastAsia" w:hAnsiTheme="minorEastAsia" w:eastAsiaTheme="minorEastAsia"/>
          <w:bCs/>
          <w:sz w:val="24"/>
        </w:rPr>
        <w:t>变配电所低压侧出线均采用埋地方式及桥架敷设方式引至各建筑物总配电柜（箱），出线采用树干式与放射相结合的方式分配线路。（各建筑物内设低压配电间），配电干线回路布位参见供电工程规划图。按规划设计要求，任何架空线路（含高压架空线）不宜横跨校区内。</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4、高压供电系统接线型式及运行方式</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10kV </w:t>
      </w:r>
      <w:r>
        <w:rPr>
          <w:rFonts w:hint="eastAsia" w:asciiTheme="minorEastAsia" w:hAnsiTheme="minorEastAsia" w:eastAsiaTheme="minorEastAsia"/>
          <w:bCs/>
          <w:sz w:val="24"/>
        </w:rPr>
        <w:t>采用单母线运行方式，高压开关柜采用铠装、金属封闭式开关柜。</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5、低压供电系统接线型式及运行方式</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两台变压器分列运行，变压器低压侧采用单母线分段方式运行，设置母联开关。联络开关设自投自复</w:t>
      </w:r>
      <w:r>
        <w:rPr>
          <w:rFonts w:asciiTheme="minorEastAsia" w:hAnsiTheme="minorEastAsia" w:eastAsiaTheme="minorEastAsia"/>
          <w:bCs/>
          <w:sz w:val="24"/>
        </w:rPr>
        <w:t xml:space="preserve">/ </w:t>
      </w:r>
      <w:r>
        <w:rPr>
          <w:rFonts w:hint="eastAsia" w:asciiTheme="minorEastAsia" w:hAnsiTheme="minorEastAsia" w:eastAsiaTheme="minorEastAsia"/>
          <w:bCs/>
          <w:sz w:val="24"/>
        </w:rPr>
        <w:t>自投不自复</w:t>
      </w:r>
      <w:r>
        <w:rPr>
          <w:rFonts w:asciiTheme="minorEastAsia" w:hAnsiTheme="minorEastAsia" w:eastAsiaTheme="minorEastAsia"/>
          <w:bCs/>
          <w:sz w:val="24"/>
        </w:rPr>
        <w:t xml:space="preserve">/ </w:t>
      </w:r>
      <w:r>
        <w:rPr>
          <w:rFonts w:hint="eastAsia" w:asciiTheme="minorEastAsia" w:hAnsiTheme="minorEastAsia" w:eastAsiaTheme="minorEastAsia"/>
          <w:bCs/>
          <w:sz w:val="24"/>
        </w:rPr>
        <w:t>手动转换开关。自投时应自动断开非确保负荷，以保证变压器可正常运行。</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主进线开关与联络开关之间设电气联锁，任何情况下只能有两个开关处在闭合状态。</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本工程二级负荷的备用电源由应急自启动的柴油发电机组供给，由本项目发电机配电柜引来。</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应急母线与主母线之间设有自动转换开关（</w:t>
      </w:r>
      <w:r>
        <w:rPr>
          <w:rFonts w:asciiTheme="minorEastAsia" w:hAnsiTheme="minorEastAsia" w:eastAsiaTheme="minorEastAsia"/>
          <w:bCs/>
          <w:sz w:val="24"/>
        </w:rPr>
        <w:t>ATS</w:t>
      </w:r>
      <w:r>
        <w:rPr>
          <w:rFonts w:hint="eastAsia" w:asciiTheme="minorEastAsia" w:hAnsiTheme="minorEastAsia" w:eastAsiaTheme="minorEastAsia"/>
          <w:bCs/>
          <w:sz w:val="24"/>
        </w:rPr>
        <w:t>），当市电母线均失电后，由</w:t>
      </w:r>
      <w:r>
        <w:rPr>
          <w:rFonts w:asciiTheme="minorEastAsia" w:hAnsiTheme="minorEastAsia" w:eastAsiaTheme="minorEastAsia"/>
          <w:bCs/>
          <w:sz w:val="24"/>
        </w:rPr>
        <w:t xml:space="preserve"> ATS </w:t>
      </w:r>
      <w:r>
        <w:rPr>
          <w:rFonts w:hint="eastAsia" w:asciiTheme="minorEastAsia" w:hAnsiTheme="minorEastAsia" w:eastAsiaTheme="minorEastAsia"/>
          <w:bCs/>
          <w:sz w:val="24"/>
        </w:rPr>
        <w:t>切换至柴油发电机组电源，保证重要负荷用电；当市电恢复</w:t>
      </w:r>
      <w:r>
        <w:rPr>
          <w:rFonts w:asciiTheme="minorEastAsia" w:hAnsiTheme="minorEastAsia" w:eastAsiaTheme="minorEastAsia"/>
          <w:bCs/>
          <w:sz w:val="24"/>
        </w:rPr>
        <w:t>30~60s</w:t>
      </w:r>
      <w:r>
        <w:rPr>
          <w:rFonts w:hint="eastAsia" w:asciiTheme="minorEastAsia" w:hAnsiTheme="minorEastAsia" w:eastAsiaTheme="minorEastAsia"/>
          <w:bCs/>
          <w:sz w:val="24"/>
        </w:rPr>
        <w:t>（可调）后，由</w:t>
      </w:r>
      <w:r>
        <w:rPr>
          <w:rFonts w:asciiTheme="minorEastAsia" w:hAnsiTheme="minorEastAsia" w:eastAsiaTheme="minorEastAsia"/>
          <w:bCs/>
          <w:sz w:val="24"/>
        </w:rPr>
        <w:t xml:space="preserve"> ATS </w:t>
      </w:r>
      <w:r>
        <w:rPr>
          <w:rFonts w:hint="eastAsia" w:asciiTheme="minorEastAsia" w:hAnsiTheme="minorEastAsia" w:eastAsiaTheme="minorEastAsia"/>
          <w:bCs/>
          <w:sz w:val="24"/>
        </w:rPr>
        <w:t>自动恢复市电供电，柴油发电机组经冷却延时后，自动停机。</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低压配电系统采用</w:t>
      </w:r>
      <w:r>
        <w:rPr>
          <w:rFonts w:asciiTheme="minorEastAsia" w:hAnsiTheme="minorEastAsia" w:eastAsiaTheme="minorEastAsia"/>
          <w:bCs/>
          <w:sz w:val="24"/>
        </w:rPr>
        <w:t xml:space="preserve">~220/380V </w:t>
      </w:r>
      <w:r>
        <w:rPr>
          <w:rFonts w:hint="eastAsia" w:asciiTheme="minorEastAsia" w:hAnsiTheme="minorEastAsia" w:eastAsiaTheme="minorEastAsia"/>
          <w:bCs/>
          <w:sz w:val="24"/>
        </w:rPr>
        <w:t>放射式与树干式相结合的方式，对于照明及一般负荷采用树干式与放射式相结合的供电方式。</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（二）电力系统</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系统采用放射式与树干式相结合的方式，对于单台容量较大的负荷或重要负荷采用放射式供电；一般负荷采用树干式与放射式相结合的供电方式。</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对消防控制室（值班室）、消防水泵、消防电梯、防烟排烟风机等消防负荷采用专用两路电源供电，并在最末一级配电箱处设置自动切换装置。</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风机、水泵、电梯等选用高效节能型设备。</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（三）照明系统</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1、本工程各区的照明分为一般照明和事故照明。一般照明由市电供应，事故照明引自发电机房，同时自带电池的应急疏散照明指示灯系统，确保紧急情况下的正常疏散。</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2、</w:t>
      </w:r>
      <w:r>
        <w:rPr>
          <w:rFonts w:hint="eastAsia" w:asciiTheme="minorEastAsia" w:hAnsiTheme="minorEastAsia" w:eastAsiaTheme="minorEastAsia"/>
          <w:sz w:val="24"/>
        </w:rPr>
        <w:t>一般场所为荧光灯或节能型LED灯光源，有装修要求的场所视装修要求商定；所有灯具均要采用高效节能灯具。</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3、设计照度标准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按照《建筑照明设计标准》GB/T50034-2013，严格控制个个场所的照度值与照明功率密度值，本工程各个场所的设计照度值与照明功率密度值如下：</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309235" cy="4166235"/>
            <wp:effectExtent l="19050" t="0" r="566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srcRect b="11785"/>
                    <a:stretch>
                      <a:fillRect/>
                    </a:stretch>
                  </pic:blipFill>
                  <pic:spPr>
                    <a:xfrm>
                      <a:off x="0" y="0"/>
                      <a:ext cx="5309290" cy="4166483"/>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注：当采用日光灯时应采用带补偿的电子镇流器，并采用光效较高的三基色T8或T5灯管。</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hint="eastAsia" w:asciiTheme="minorEastAsia" w:hAnsiTheme="minorEastAsia" w:eastAsiaTheme="minorEastAsia"/>
          <w:spacing w:val="10"/>
          <w:sz w:val="24"/>
        </w:rPr>
        <w:t>变配电房、消防水泵房、消防控制中心、疏散楼梯及前室、疏散走道等均设应急照明灯，在走廊、安全出口、楼梯间及其前室、主要出入口等场所设置疏散指示灯。</w:t>
      </w:r>
    </w:p>
    <w:p>
      <w:pPr>
        <w:spacing w:line="360" w:lineRule="auto"/>
        <w:ind w:firstLine="480" w:firstLineChars="200"/>
        <w:rPr>
          <w:rFonts w:asciiTheme="minorEastAsia" w:hAnsiTheme="minorEastAsia" w:eastAsiaTheme="minorEastAsia"/>
          <w:spacing w:val="10"/>
          <w:sz w:val="24"/>
        </w:rPr>
      </w:pPr>
      <w:r>
        <w:rPr>
          <w:rFonts w:hint="eastAsia" w:asciiTheme="minorEastAsia" w:hAnsiTheme="minorEastAsia" w:eastAsiaTheme="minorEastAsia"/>
          <w:sz w:val="24"/>
        </w:rPr>
        <w:t>5、照明、插座分别由不同的支路供电，所有插座支路均设置剩余电流保护器。</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（四）导线的选型和敷设</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1、低压出线电缆选用ZR-YJY-0.6/1</w:t>
      </w:r>
      <w:r>
        <w:rPr>
          <w:rFonts w:asciiTheme="minorEastAsia" w:hAnsiTheme="minorEastAsia" w:eastAsiaTheme="minorEastAsia"/>
          <w:spacing w:val="10"/>
          <w:sz w:val="24"/>
        </w:rPr>
        <w:t>Kv</w:t>
      </w:r>
      <w:r>
        <w:rPr>
          <w:rFonts w:hint="eastAsia" w:asciiTheme="minorEastAsia" w:hAnsiTheme="minorEastAsia" w:eastAsiaTheme="minorEastAsia"/>
          <w:spacing w:val="10"/>
          <w:sz w:val="24"/>
        </w:rPr>
        <w:t>电力电缆，其工作温度为90℃。</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2、所有支线均选用阻燃低烟无卤交联聚乙烯绝缘铜芯电线或电缆穿管暗敷设。</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3、电缆通常是敷设在电缆线槽上，各种机房的电源线等视具体情况敷设在金属线槽内或金属管内。照明干线，动力干线选用电缆；照明支线穿管暗敷在吊顶或现浇混凝土楼板内。</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4、应急照明支线穿管暗敷在楼板内，由顶板接线盒至吊顶灯具的一段线路选用钢质波纹管或普利卡管；普通照明支线穿管敷设在楼板内或吊顶内；室外及屋顶管线暗设或电缆沟敷设。</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（五）防雷、安全措施及接地系统</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1、本项目按第二类防雷建筑物。接闪器采用接闪短针及接闪带，接闪带采用Ф12热镀锌圆钢安装于突出屋面的女儿墙上；引下线利用结构柱内两根对角主筋(≥Ф16)；接地体利用建筑物混凝土基础作自然接地体；三者可靠焊接连通，连成电气通路。</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2、本工程低压配电系统的接地型式为TN-S系统。系统的工作接地、保护接地、防雷接地等采用共用接地装置，其接地电阻≤1Ω。其中性线与PE线在接地点后要严格分开，电气装置的外露可导电部分及其它装置的外露可导电部分均应可靠接地。</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3、由室外引入建筑物的电力线路、信号线路、控制线路、信息线路等在其入口处的配电箱、控制箱、前端箱等的引入处装设</w:t>
      </w:r>
      <w:r>
        <w:rPr>
          <w:rFonts w:asciiTheme="minorEastAsia" w:hAnsiTheme="minorEastAsia" w:eastAsiaTheme="minorEastAsia"/>
          <w:spacing w:val="10"/>
          <w:sz w:val="24"/>
        </w:rPr>
        <w:t>SPD</w:t>
      </w:r>
      <w:r>
        <w:rPr>
          <w:rFonts w:hint="eastAsia" w:asciiTheme="minorEastAsia" w:hAnsiTheme="minorEastAsia" w:eastAsiaTheme="minorEastAsia"/>
          <w:spacing w:val="10"/>
          <w:sz w:val="24"/>
        </w:rPr>
        <w:t>，并就近与进出建筑物的各种金属管道等进行等电位联结，并可靠接地。</w:t>
      </w:r>
    </w:p>
    <w:p>
      <w:pPr>
        <w:adjustRightInd w:val="0"/>
        <w:snapToGrid w:val="0"/>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4、本工程采用总等电位联结，将建筑物内的保护干线、设备干管、建筑物及构筑物等的金属构件应与楼层等电位联结板及总等电位联结板联结。对重要的机房、站房、带淋浴的卫生间等作局部等电位联结。</w:t>
      </w:r>
    </w:p>
    <w:p>
      <w:pPr>
        <w:spacing w:line="360" w:lineRule="auto"/>
        <w:rPr>
          <w:rFonts w:asciiTheme="minorEastAsia" w:hAnsiTheme="minorEastAsia" w:eastAsiaTheme="minorEastAsia"/>
          <w:b/>
          <w:bCs/>
          <w:sz w:val="24"/>
        </w:rPr>
      </w:pPr>
      <w:r>
        <w:rPr>
          <w:rFonts w:hint="eastAsia" w:asciiTheme="minorEastAsia" w:hAnsiTheme="minorEastAsia" w:eastAsiaTheme="minorEastAsia"/>
          <w:b/>
          <w:bCs/>
          <w:sz w:val="24"/>
        </w:rPr>
        <w:t>四、电气节能</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建筑电气节能的原则是：在充分满足、完善建筑物功能的前提下，减少能源损耗，提高能源利用率。节能的途径之一是合理配置建筑设备，并对其进行有效、科学的控制与管理。</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1. </w:t>
      </w:r>
      <w:r>
        <w:rPr>
          <w:rFonts w:hint="eastAsia" w:asciiTheme="minorEastAsia" w:hAnsiTheme="minorEastAsia" w:eastAsiaTheme="minorEastAsia"/>
          <w:bCs/>
          <w:sz w:val="24"/>
        </w:rPr>
        <w:t>供配电系统的节能</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）合理确定变压器容量，变压器均采用</w:t>
      </w:r>
      <w:r>
        <w:rPr>
          <w:rFonts w:asciiTheme="minorEastAsia" w:hAnsiTheme="minorEastAsia" w:eastAsiaTheme="minorEastAsia"/>
          <w:bCs/>
          <w:sz w:val="24"/>
        </w:rPr>
        <w:t>D</w:t>
      </w:r>
      <w:r>
        <w:rPr>
          <w:rFonts w:hint="eastAsia" w:asciiTheme="minorEastAsia" w:hAnsiTheme="minorEastAsia" w:eastAsiaTheme="minorEastAsia"/>
          <w:bCs/>
          <w:sz w:val="24"/>
        </w:rPr>
        <w:t>，</w:t>
      </w:r>
      <w:r>
        <w:rPr>
          <w:rFonts w:asciiTheme="minorEastAsia" w:hAnsiTheme="minorEastAsia" w:eastAsiaTheme="minorEastAsia"/>
          <w:bCs/>
          <w:sz w:val="24"/>
        </w:rPr>
        <w:t xml:space="preserve">yn11 </w:t>
      </w:r>
      <w:r>
        <w:rPr>
          <w:rFonts w:hint="eastAsia" w:asciiTheme="minorEastAsia" w:hAnsiTheme="minorEastAsia" w:eastAsiaTheme="minorEastAsia"/>
          <w:bCs/>
          <w:sz w:val="24"/>
        </w:rPr>
        <w:t>型结线、低损耗、低噪声节能的</w:t>
      </w:r>
      <w:r>
        <w:rPr>
          <w:rFonts w:asciiTheme="minorEastAsia" w:hAnsiTheme="minorEastAsia" w:eastAsiaTheme="minorEastAsia"/>
          <w:bCs/>
          <w:sz w:val="24"/>
        </w:rPr>
        <w:t>SCB11</w:t>
      </w:r>
      <w:r>
        <w:rPr>
          <w:rFonts w:hint="eastAsia" w:asciiTheme="minorEastAsia" w:hAnsiTheme="minorEastAsia" w:eastAsiaTheme="minorEastAsia"/>
          <w:bCs/>
          <w:sz w:val="24"/>
        </w:rPr>
        <w:t>系列三相干式变压器，运行中合理调配负荷，使变压器大部分时间内运行在最佳负荷曲线，以提高变压器的技术经济效益，减少变压器能耗。</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2) </w:t>
      </w:r>
      <w:r>
        <w:rPr>
          <w:rFonts w:hint="eastAsia" w:asciiTheme="minorEastAsia" w:hAnsiTheme="minorEastAsia" w:eastAsiaTheme="minorEastAsia"/>
          <w:bCs/>
          <w:sz w:val="24"/>
        </w:rPr>
        <w:t>变电所尽量深入负荷中心，减少配电级数，供电半径控制在</w:t>
      </w:r>
      <w:r>
        <w:rPr>
          <w:rFonts w:asciiTheme="minorEastAsia" w:hAnsiTheme="minorEastAsia" w:eastAsiaTheme="minorEastAsia"/>
          <w:bCs/>
          <w:sz w:val="24"/>
        </w:rPr>
        <w:t xml:space="preserve">200 </w:t>
      </w:r>
      <w:r>
        <w:rPr>
          <w:rFonts w:hint="eastAsia" w:asciiTheme="minorEastAsia" w:hAnsiTheme="minorEastAsia" w:eastAsiaTheme="minorEastAsia"/>
          <w:bCs/>
          <w:sz w:val="24"/>
        </w:rPr>
        <w:t>米以内，可以减少低压侧线路长度，适当增大配电电缆截面，能源输送损耗控制在</w:t>
      </w:r>
      <w:r>
        <w:rPr>
          <w:rFonts w:asciiTheme="minorEastAsia" w:hAnsiTheme="minorEastAsia" w:eastAsiaTheme="minorEastAsia"/>
          <w:bCs/>
          <w:sz w:val="24"/>
        </w:rPr>
        <w:t xml:space="preserve">2% </w:t>
      </w:r>
      <w:r>
        <w:rPr>
          <w:rFonts w:hint="eastAsia" w:asciiTheme="minorEastAsia" w:hAnsiTheme="minorEastAsia" w:eastAsiaTheme="minorEastAsia"/>
          <w:bCs/>
          <w:sz w:val="24"/>
        </w:rPr>
        <w:t>以内。</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3) </w:t>
      </w:r>
      <w:r>
        <w:rPr>
          <w:rFonts w:hint="eastAsia" w:asciiTheme="minorEastAsia" w:hAnsiTheme="minorEastAsia" w:eastAsiaTheme="minorEastAsia"/>
          <w:bCs/>
          <w:sz w:val="24"/>
        </w:rPr>
        <w:t>无功功率因数的补偿采用集中补偿和分散就地补偿相结合的方式，变电所低压处设置集中补偿，补偿后高压侧的功率因数不能小于</w:t>
      </w:r>
      <w:r>
        <w:rPr>
          <w:rFonts w:asciiTheme="minorEastAsia" w:hAnsiTheme="minorEastAsia" w:eastAsiaTheme="minorEastAsia"/>
          <w:bCs/>
          <w:sz w:val="24"/>
        </w:rPr>
        <w:t>0.9</w:t>
      </w:r>
      <w:r>
        <w:rPr>
          <w:rFonts w:hint="eastAsia" w:asciiTheme="minorEastAsia" w:hAnsiTheme="minorEastAsia" w:eastAsiaTheme="minorEastAsia"/>
          <w:bCs/>
          <w:sz w:val="24"/>
        </w:rPr>
        <w:t>。金卤灯等采用就地补偿，选择节能型高功率因数电感镇流器，荧光灯单灯功率因数不小于</w:t>
      </w:r>
      <w:r>
        <w:rPr>
          <w:rFonts w:asciiTheme="minorEastAsia" w:hAnsiTheme="minorEastAsia" w:eastAsiaTheme="minorEastAsia"/>
          <w:bCs/>
          <w:sz w:val="24"/>
        </w:rPr>
        <w:t>0.9</w:t>
      </w:r>
      <w:r>
        <w:rPr>
          <w:rFonts w:hint="eastAsia" w:asciiTheme="minorEastAsia" w:hAnsiTheme="minorEastAsia" w:eastAsiaTheme="minorEastAsia"/>
          <w:bCs/>
          <w:sz w:val="24"/>
        </w:rPr>
        <w:t>。</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4) </w:t>
      </w:r>
      <w:r>
        <w:rPr>
          <w:rFonts w:hint="eastAsia" w:asciiTheme="minorEastAsia" w:hAnsiTheme="minorEastAsia" w:eastAsiaTheme="minorEastAsia"/>
          <w:bCs/>
          <w:sz w:val="24"/>
        </w:rPr>
        <w:t>末端设备选用节能设备，正确选定装机容量，减少设备本身的能源损耗，提高系统的整体节能效果。选用绿色、环保且经国家认证的电气产品。在满足国家规范及供电行业标准的前提下，选用高性能变压器及相关配电设备，选用高品质电缆、电线降低自身损耗。</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2. </w:t>
      </w:r>
      <w:r>
        <w:rPr>
          <w:rFonts w:hint="eastAsia" w:asciiTheme="minorEastAsia" w:hAnsiTheme="minorEastAsia" w:eastAsiaTheme="minorEastAsia"/>
          <w:bCs/>
          <w:sz w:val="24"/>
        </w:rPr>
        <w:t>电气照明的节能</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1) </w:t>
      </w:r>
      <w:r>
        <w:rPr>
          <w:rFonts w:hint="eastAsia" w:asciiTheme="minorEastAsia" w:hAnsiTheme="minorEastAsia" w:eastAsiaTheme="minorEastAsia"/>
          <w:bCs/>
          <w:sz w:val="24"/>
        </w:rPr>
        <w:t>严格执行国家《建筑照明设计标准》</w:t>
      </w:r>
      <w:r>
        <w:rPr>
          <w:rFonts w:asciiTheme="minorEastAsia" w:hAnsiTheme="minorEastAsia" w:eastAsiaTheme="minorEastAsia"/>
          <w:bCs/>
          <w:sz w:val="24"/>
        </w:rPr>
        <w:t xml:space="preserve">50034-2013 </w:t>
      </w:r>
      <w:r>
        <w:rPr>
          <w:rFonts w:hint="eastAsia" w:asciiTheme="minorEastAsia" w:hAnsiTheme="minorEastAsia" w:eastAsiaTheme="minorEastAsia"/>
          <w:bCs/>
          <w:sz w:val="24"/>
        </w:rPr>
        <w:t>关于照明功率密度值的有关规范条文。</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2) </w:t>
      </w:r>
      <w:r>
        <w:rPr>
          <w:rFonts w:hint="eastAsia" w:asciiTheme="minorEastAsia" w:hAnsiTheme="minorEastAsia" w:eastAsiaTheme="minorEastAsia"/>
          <w:bCs/>
          <w:sz w:val="24"/>
        </w:rPr>
        <w:t>选用高效节能的光源及灯具。荧光灯光源选用三基色细管径荧光灯（</w:t>
      </w:r>
      <w:r>
        <w:rPr>
          <w:rFonts w:asciiTheme="minorEastAsia" w:hAnsiTheme="minorEastAsia" w:eastAsiaTheme="minorEastAsia"/>
          <w:bCs/>
          <w:sz w:val="24"/>
        </w:rPr>
        <w:t>T5</w:t>
      </w:r>
      <w:r>
        <w:rPr>
          <w:rFonts w:hint="eastAsia" w:asciiTheme="minorEastAsia" w:hAnsiTheme="minorEastAsia" w:eastAsiaTheme="minorEastAsia"/>
          <w:bCs/>
          <w:sz w:val="24"/>
        </w:rPr>
        <w:t>）、节能灯或</w:t>
      </w:r>
      <w:r>
        <w:rPr>
          <w:rFonts w:asciiTheme="minorEastAsia" w:hAnsiTheme="minorEastAsia" w:eastAsiaTheme="minorEastAsia"/>
          <w:bCs/>
          <w:sz w:val="24"/>
        </w:rPr>
        <w:t xml:space="preserve">LED </w:t>
      </w:r>
      <w:r>
        <w:rPr>
          <w:rFonts w:hint="eastAsia" w:asciiTheme="minorEastAsia" w:hAnsiTheme="minorEastAsia" w:eastAsiaTheme="minorEastAsia"/>
          <w:bCs/>
          <w:sz w:val="24"/>
        </w:rPr>
        <w:t>灯。</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在满足眩光限制和配光要求条件下，选用高效率的灯具。</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3</w:t>
      </w:r>
      <w:r>
        <w:rPr>
          <w:rFonts w:hint="eastAsia" w:asciiTheme="minorEastAsia" w:hAnsiTheme="minorEastAsia" w:eastAsiaTheme="minorEastAsia"/>
          <w:bCs/>
          <w:sz w:val="24"/>
        </w:rPr>
        <w:t>）选用电子镇流器及节能型电感镇流器，采用的镇流器应符合该产品的国家能效标准，谐波含量应满足有关规范要求。</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4</w:t>
      </w:r>
      <w:r>
        <w:rPr>
          <w:rFonts w:hint="eastAsia" w:asciiTheme="minorEastAsia" w:hAnsiTheme="minorEastAsia" w:eastAsiaTheme="minorEastAsia"/>
          <w:bCs/>
          <w:sz w:val="24"/>
        </w:rPr>
        <w:t>）设置智能照明控制系统；不同场所可采用适当的节电开关，走廊、前室、楼梯间及公共部分的灯光控制采用定时控制、集中控制及调光和声光控制灯方式。</w:t>
      </w:r>
    </w:p>
    <w:p>
      <w:pPr>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 xml:space="preserve">3. </w:t>
      </w:r>
      <w:r>
        <w:rPr>
          <w:rFonts w:hint="eastAsia" w:asciiTheme="minorEastAsia" w:hAnsiTheme="minorEastAsia" w:eastAsiaTheme="minorEastAsia"/>
          <w:bCs/>
          <w:sz w:val="24"/>
        </w:rPr>
        <w:t>电力监控系统</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电力监控系统提供各类负荷的分项计量与管理，通过一段时间运行和数据的收集，在分析各类负荷耗能情况的基础上，找出对系统节能有重大影响的关键节点，调整系统的运行状况，使整个系统在最节能的状态下运行。对内部的照明、空调、信息等系统根据用电性质分类计量。</w:t>
      </w:r>
    </w:p>
    <w:p>
      <w:pPr>
        <w:pStyle w:val="3"/>
      </w:pPr>
      <w:bookmarkStart w:id="56" w:name="_Toc509586061"/>
      <w:bookmarkStart w:id="57" w:name="_Toc515980402"/>
      <w:r>
        <w:rPr>
          <w:rFonts w:hint="eastAsia"/>
        </w:rPr>
        <w:t>6.3  空调与通风工程</w:t>
      </w:r>
      <w:bookmarkEnd w:id="56"/>
      <w:bookmarkEnd w:id="57"/>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（一）设计范围</w:t>
      </w:r>
    </w:p>
    <w:p>
      <w:pPr>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本项目综合教学楼不设中央空调系统，在教务办公室、阅览室等室内可考虑设置分体空调，其他必要的建筑室内电气设计预留布置足够的分体空调的电负荷。普通教室等设置风扇降温设施。</w:t>
      </w:r>
    </w:p>
    <w:p>
      <w:pPr>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本项目食堂综合楼餐厅、报告厅采用变频多联分体空调系统。发电机房、低压电房、变压器房、高压电房、开关房、水泵房、卫生间、更衣室、展厅、舞蹈教室设机械排风系统。</w:t>
      </w:r>
    </w:p>
    <w:p>
      <w:pPr>
        <w:spacing w:line="360" w:lineRule="auto"/>
        <w:ind w:firstLine="520" w:firstLineChars="200"/>
        <w:rPr>
          <w:rFonts w:asciiTheme="minorEastAsia" w:hAnsiTheme="minorEastAsia" w:eastAsiaTheme="minorEastAsia"/>
          <w:spacing w:val="10"/>
          <w:sz w:val="24"/>
        </w:rPr>
      </w:pPr>
      <w:r>
        <w:rPr>
          <w:rFonts w:hint="eastAsia" w:asciiTheme="minorEastAsia" w:hAnsiTheme="minorEastAsia" w:eastAsiaTheme="minorEastAsia"/>
          <w:spacing w:val="10"/>
          <w:sz w:val="24"/>
        </w:rPr>
        <w:t>普通教室等在建筑门窗设计上考虑良好的自然通风和空气对流条件。排风系统的排出口位置应避免对环境的影响。</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（二）设计依据</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 xml:space="preserve">、《民用建筑供暖通风与空气调节设计规范》  </w:t>
      </w:r>
      <w:r>
        <w:rPr>
          <w:rFonts w:asciiTheme="minorEastAsia" w:hAnsiTheme="minorEastAsia" w:eastAsiaTheme="minorEastAsia"/>
          <w:sz w:val="24"/>
        </w:rPr>
        <w:t>GB50736-2012</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、《建筑设计防火规范》</w:t>
      </w:r>
      <w:r>
        <w:rPr>
          <w:rFonts w:asciiTheme="minorEastAsia" w:hAnsiTheme="minorEastAsia" w:eastAsiaTheme="minorEastAsia"/>
          <w:sz w:val="24"/>
        </w:rPr>
        <w:t xml:space="preserve">                    GB50016-20</w:t>
      </w:r>
      <w:r>
        <w:rPr>
          <w:rFonts w:hint="eastAsia" w:asciiTheme="minorEastAsia" w:hAnsiTheme="minorEastAsia" w:eastAsiaTheme="minorEastAsia"/>
          <w:sz w:val="24"/>
        </w:rPr>
        <w:t>14</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3、《公共建筑节能设计标准》</w:t>
      </w:r>
      <w:r>
        <w:rPr>
          <w:rFonts w:asciiTheme="minorEastAsia" w:hAnsiTheme="minorEastAsia" w:eastAsiaTheme="minorEastAsia"/>
          <w:sz w:val="24"/>
        </w:rPr>
        <w:t xml:space="preserve">               GB50189-2005</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4、《公共建筑节能设计标准》广东省实施细则</w:t>
      </w:r>
      <w:r>
        <w:rPr>
          <w:rFonts w:asciiTheme="minorEastAsia" w:hAnsiTheme="minorEastAsia" w:eastAsiaTheme="minorEastAsia"/>
          <w:sz w:val="24"/>
        </w:rPr>
        <w:t xml:space="preserve"> DBJ15-51-2007</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6、《通风与空调工程施工质量验收规范》</w:t>
      </w:r>
      <w:r>
        <w:rPr>
          <w:rFonts w:asciiTheme="minorEastAsia" w:hAnsiTheme="minorEastAsia" w:eastAsiaTheme="minorEastAsia"/>
          <w:sz w:val="24"/>
        </w:rPr>
        <w:t xml:space="preserve">     GB50243-2002</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7、全国民用建筑工程设计技术措施（暖通空调</w:t>
      </w:r>
      <w:r>
        <w:rPr>
          <w:rFonts w:hint="eastAsia" w:asciiTheme="minorEastAsia" w:hAnsiTheme="minorEastAsia" w:eastAsiaTheme="minorEastAsia"/>
          <w:sz w:val="24"/>
        </w:rPr>
        <w:sym w:font="Symbol" w:char="F0B7"/>
      </w:r>
      <w:r>
        <w:rPr>
          <w:rFonts w:hint="eastAsia" w:asciiTheme="minorEastAsia" w:hAnsiTheme="minorEastAsia" w:eastAsiaTheme="minorEastAsia"/>
          <w:sz w:val="24"/>
        </w:rPr>
        <w:t>动力）（</w:t>
      </w:r>
      <w:r>
        <w:rPr>
          <w:rFonts w:asciiTheme="minorEastAsia" w:hAnsiTheme="minorEastAsia" w:eastAsiaTheme="minorEastAsia"/>
          <w:sz w:val="24"/>
        </w:rPr>
        <w:t>2009</w:t>
      </w:r>
      <w:r>
        <w:rPr>
          <w:rFonts w:hint="eastAsia" w:asciiTheme="minorEastAsia" w:hAnsiTheme="minorEastAsia" w:eastAsiaTheme="minorEastAsia"/>
          <w:sz w:val="24"/>
        </w:rPr>
        <w:t>年版）</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（三）设计计算参数</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室外气象参数</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夏季空气调节室外计算</w:t>
      </w:r>
      <w:r>
        <w:rPr>
          <w:rFonts w:asciiTheme="minorEastAsia" w:hAnsiTheme="minorEastAsia" w:eastAsiaTheme="minorEastAsia"/>
          <w:sz w:val="24"/>
        </w:rPr>
        <w:t>(</w:t>
      </w:r>
      <w:r>
        <w:rPr>
          <w:rFonts w:hint="eastAsia" w:asciiTheme="minorEastAsia" w:hAnsiTheme="minorEastAsia" w:eastAsiaTheme="minorEastAsia"/>
          <w:sz w:val="24"/>
        </w:rPr>
        <w:t>干球</w:t>
      </w:r>
      <w:r>
        <w:rPr>
          <w:rFonts w:asciiTheme="minorEastAsia" w:hAnsiTheme="minorEastAsia" w:eastAsiaTheme="minorEastAsia"/>
          <w:sz w:val="24"/>
        </w:rPr>
        <w:t>)</w:t>
      </w:r>
      <w:r>
        <w:rPr>
          <w:rFonts w:hint="eastAsia" w:asciiTheme="minorEastAsia" w:hAnsiTheme="minorEastAsia" w:eastAsiaTheme="minorEastAsia"/>
          <w:sz w:val="24"/>
        </w:rPr>
        <w:t>温度</w:t>
      </w:r>
      <w:r>
        <w:rPr>
          <w:rFonts w:asciiTheme="minorEastAsia" w:hAnsiTheme="minorEastAsia" w:eastAsiaTheme="minorEastAsia"/>
          <w:sz w:val="24"/>
        </w:rPr>
        <w:t xml:space="preserve">         33.</w:t>
      </w:r>
      <w:r>
        <w:rPr>
          <w:rFonts w:hint="eastAsia" w:asciiTheme="minorEastAsia" w:hAnsiTheme="minorEastAsia" w:eastAsiaTheme="minorEastAsia"/>
          <w:sz w:val="24"/>
        </w:rPr>
        <w:t>6°</w:t>
      </w:r>
      <w:r>
        <w:rPr>
          <w:rFonts w:asciiTheme="minorEastAsia" w:hAnsiTheme="minorEastAsia" w:eastAsiaTheme="minorEastAsia"/>
          <w:sz w:val="24"/>
        </w:rPr>
        <w:t>C</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夏季空气调节室外计算</w:t>
      </w:r>
      <w:r>
        <w:rPr>
          <w:rFonts w:asciiTheme="minorEastAsia" w:hAnsiTheme="minorEastAsia" w:eastAsiaTheme="minorEastAsia"/>
          <w:sz w:val="24"/>
        </w:rPr>
        <w:t>(</w:t>
      </w:r>
      <w:r>
        <w:rPr>
          <w:rFonts w:hint="eastAsia" w:asciiTheme="minorEastAsia" w:hAnsiTheme="minorEastAsia" w:eastAsiaTheme="minorEastAsia"/>
          <w:sz w:val="24"/>
        </w:rPr>
        <w:t>湿球</w:t>
      </w:r>
      <w:r>
        <w:rPr>
          <w:rFonts w:asciiTheme="minorEastAsia" w:hAnsiTheme="minorEastAsia" w:eastAsiaTheme="minorEastAsia"/>
          <w:sz w:val="24"/>
        </w:rPr>
        <w:t>)</w:t>
      </w:r>
      <w:r>
        <w:rPr>
          <w:rFonts w:hint="eastAsia" w:asciiTheme="minorEastAsia" w:hAnsiTheme="minorEastAsia" w:eastAsiaTheme="minorEastAsia"/>
          <w:sz w:val="24"/>
        </w:rPr>
        <w:t>温度</w:t>
      </w:r>
      <w:r>
        <w:rPr>
          <w:rFonts w:asciiTheme="minorEastAsia" w:hAnsiTheme="minorEastAsia" w:eastAsiaTheme="minorEastAsia"/>
          <w:sz w:val="24"/>
        </w:rPr>
        <w:t xml:space="preserve">         27.</w:t>
      </w:r>
      <w:r>
        <w:rPr>
          <w:rFonts w:hint="eastAsia" w:asciiTheme="minorEastAsia" w:hAnsiTheme="minorEastAsia" w:eastAsiaTheme="minorEastAsia"/>
          <w:sz w:val="24"/>
        </w:rPr>
        <w:t>6°</w:t>
      </w:r>
      <w:r>
        <w:rPr>
          <w:rFonts w:asciiTheme="minorEastAsia" w:hAnsiTheme="minorEastAsia" w:eastAsiaTheme="minorEastAsia"/>
          <w:sz w:val="24"/>
        </w:rPr>
        <w:t>C</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夏季通风室外平均</w:t>
      </w:r>
      <w:r>
        <w:rPr>
          <w:rFonts w:asciiTheme="minorEastAsia" w:hAnsiTheme="minorEastAsia" w:eastAsiaTheme="minorEastAsia"/>
          <w:sz w:val="24"/>
        </w:rPr>
        <w:t>(</w:t>
      </w:r>
      <w:r>
        <w:rPr>
          <w:rFonts w:hint="eastAsia" w:asciiTheme="minorEastAsia" w:hAnsiTheme="minorEastAsia" w:eastAsiaTheme="minorEastAsia"/>
          <w:sz w:val="24"/>
        </w:rPr>
        <w:t>干球</w:t>
      </w:r>
      <w:r>
        <w:rPr>
          <w:rFonts w:asciiTheme="minorEastAsia" w:hAnsiTheme="minorEastAsia" w:eastAsiaTheme="minorEastAsia"/>
          <w:sz w:val="24"/>
        </w:rPr>
        <w:t>)</w:t>
      </w:r>
      <w:r>
        <w:rPr>
          <w:rFonts w:hint="eastAsia" w:asciiTheme="minorEastAsia" w:hAnsiTheme="minorEastAsia" w:eastAsiaTheme="minorEastAsia"/>
          <w:sz w:val="24"/>
        </w:rPr>
        <w:t>温度             31°</w:t>
      </w:r>
      <w:r>
        <w:rPr>
          <w:rFonts w:asciiTheme="minorEastAsia" w:hAnsiTheme="minorEastAsia" w:eastAsiaTheme="minorEastAsia"/>
          <w:sz w:val="24"/>
        </w:rPr>
        <w:t>C</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冬季空气调节室外计算</w:t>
      </w:r>
      <w:r>
        <w:rPr>
          <w:rFonts w:asciiTheme="minorEastAsia" w:hAnsiTheme="minorEastAsia" w:eastAsiaTheme="minorEastAsia"/>
          <w:sz w:val="24"/>
        </w:rPr>
        <w:t>(</w:t>
      </w:r>
      <w:r>
        <w:rPr>
          <w:rFonts w:hint="eastAsia" w:asciiTheme="minorEastAsia" w:hAnsiTheme="minorEastAsia" w:eastAsiaTheme="minorEastAsia"/>
          <w:sz w:val="24"/>
        </w:rPr>
        <w:t>干球</w:t>
      </w:r>
      <w:r>
        <w:rPr>
          <w:rFonts w:asciiTheme="minorEastAsia" w:hAnsiTheme="minorEastAsia" w:eastAsiaTheme="minorEastAsia"/>
          <w:sz w:val="24"/>
        </w:rPr>
        <w:t>)</w:t>
      </w:r>
      <w:r>
        <w:rPr>
          <w:rFonts w:hint="eastAsia" w:asciiTheme="minorEastAsia" w:hAnsiTheme="minorEastAsia" w:eastAsiaTheme="minorEastAsia"/>
          <w:sz w:val="24"/>
        </w:rPr>
        <w:t>温度</w:t>
      </w:r>
      <w:r>
        <w:rPr>
          <w:rFonts w:asciiTheme="minorEastAsia" w:hAnsiTheme="minorEastAsia" w:eastAsiaTheme="minorEastAsia"/>
          <w:sz w:val="24"/>
        </w:rPr>
        <w:t xml:space="preserve">         5</w:t>
      </w:r>
      <w:r>
        <w:rPr>
          <w:rFonts w:hint="eastAsia" w:asciiTheme="minorEastAsia" w:hAnsiTheme="minorEastAsia" w:eastAsiaTheme="minorEastAsia"/>
          <w:sz w:val="24"/>
        </w:rPr>
        <w:t>.2</w:t>
      </w:r>
      <w:r>
        <w:rPr>
          <w:rFonts w:asciiTheme="minorEastAsia" w:hAnsiTheme="minorEastAsia" w:eastAsiaTheme="minorEastAsia"/>
          <w:sz w:val="24"/>
        </w:rPr>
        <w:t>C</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冬季空气调节室外相对湿度               75</w:t>
      </w:r>
      <w:r>
        <w:rPr>
          <w:rFonts w:asciiTheme="minorEastAsia" w:hAnsiTheme="minorEastAsia" w:eastAsiaTheme="minorEastAsia"/>
          <w:sz w:val="24"/>
        </w:rPr>
        <w:t>%</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夏季室外平均风速                       2.0米／秒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冬季室外平均风速</w:t>
      </w:r>
      <w:r>
        <w:rPr>
          <w:rFonts w:asciiTheme="minorEastAsia" w:hAnsiTheme="minorEastAsia" w:eastAsiaTheme="minorEastAsia"/>
          <w:sz w:val="24"/>
        </w:rPr>
        <w:t xml:space="preserve"> 2.</w:t>
      </w:r>
      <w:r>
        <w:rPr>
          <w:rFonts w:hint="eastAsia" w:asciiTheme="minorEastAsia" w:hAnsiTheme="minorEastAsia" w:eastAsiaTheme="minorEastAsia"/>
          <w:sz w:val="24"/>
        </w:rPr>
        <w:t>6米／秒</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夏季室外大气压力                       1016.3h</w:t>
      </w:r>
      <w:r>
        <w:rPr>
          <w:rFonts w:asciiTheme="minorEastAsia" w:hAnsiTheme="minorEastAsia" w:eastAsiaTheme="minorEastAsia"/>
          <w:sz w:val="24"/>
        </w:rPr>
        <w:t>Pa</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冬季室外大气压力                       1001.8h</w:t>
      </w:r>
      <w:r>
        <w:rPr>
          <w:rFonts w:asciiTheme="minorEastAsia" w:hAnsiTheme="minorEastAsia" w:eastAsiaTheme="minorEastAsia"/>
          <w:sz w:val="24"/>
        </w:rPr>
        <w:t>Pa</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教室新风量指标：24m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/h·人</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（四）通风及防排烟系统设计</w:t>
      </w:r>
    </w:p>
    <w:p>
      <w:pPr>
        <w:spacing w:line="360" w:lineRule="auto"/>
        <w:ind w:firstLine="520" w:firstLineChars="200"/>
        <w:jc w:val="left"/>
        <w:rPr>
          <w:rFonts w:asciiTheme="minorEastAsia" w:hAnsiTheme="minorEastAsia" w:eastAsiaTheme="minorEastAsia"/>
          <w:spacing w:val="10"/>
          <w:sz w:val="24"/>
        </w:rPr>
      </w:pPr>
      <w:r>
        <w:rPr>
          <w:rFonts w:hint="eastAsia" w:asciiTheme="minorEastAsia" w:hAnsiTheme="minorEastAsia" w:eastAsiaTheme="minorEastAsia"/>
          <w:spacing w:val="10"/>
          <w:sz w:val="24"/>
        </w:rPr>
        <w:t>1、通风系统设计</w:t>
      </w:r>
    </w:p>
    <w:p>
      <w:pPr>
        <w:spacing w:line="360" w:lineRule="auto"/>
        <w:ind w:firstLine="520" w:firstLineChars="200"/>
        <w:jc w:val="left"/>
        <w:rPr>
          <w:rFonts w:asciiTheme="minorEastAsia" w:hAnsiTheme="minorEastAsia" w:eastAsiaTheme="minorEastAsia"/>
          <w:spacing w:val="10"/>
          <w:sz w:val="24"/>
        </w:rPr>
      </w:pPr>
      <w:r>
        <w:rPr>
          <w:rFonts w:hint="eastAsia" w:asciiTheme="minorEastAsia" w:hAnsiTheme="minorEastAsia" w:eastAsiaTheme="minorEastAsia"/>
          <w:spacing w:val="10"/>
          <w:sz w:val="24"/>
        </w:rPr>
        <w:t>下列房间按以下通风量设计机械通风系统。</w:t>
      </w:r>
    </w:p>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各个设备用房的通风换气次数按下表计算</w:t>
      </w:r>
    </w:p>
    <w:tbl>
      <w:tblPr>
        <w:tblStyle w:val="19"/>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1980"/>
        <w:gridCol w:w="1981"/>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472" w:type="dxa"/>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房间名称</w:t>
            </w:r>
          </w:p>
        </w:tc>
        <w:tc>
          <w:tcPr>
            <w:tcW w:w="1980" w:type="dxa"/>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换气次数</w:t>
            </w:r>
          </w:p>
        </w:tc>
        <w:tc>
          <w:tcPr>
            <w:tcW w:w="1981" w:type="dxa"/>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房间名称</w:t>
            </w:r>
          </w:p>
        </w:tc>
        <w:tc>
          <w:tcPr>
            <w:tcW w:w="1981" w:type="dxa"/>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换气次数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472"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变压器房</w:t>
            </w:r>
          </w:p>
        </w:tc>
        <w:tc>
          <w:tcPr>
            <w:tcW w:w="1980"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20次/h</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配电房</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8次/h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472"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水泵房</w:t>
            </w:r>
          </w:p>
        </w:tc>
        <w:tc>
          <w:tcPr>
            <w:tcW w:w="1980"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6次/h</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柴油发电机房</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15次/h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472"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卫生间</w:t>
            </w:r>
          </w:p>
        </w:tc>
        <w:tc>
          <w:tcPr>
            <w:tcW w:w="1980"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15次/h</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库房</w:t>
            </w:r>
          </w:p>
        </w:tc>
        <w:tc>
          <w:tcPr>
            <w:tcW w:w="1981" w:type="dxa"/>
            <w:vAlign w:val="center"/>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5次/h</w:t>
            </w:r>
          </w:p>
        </w:tc>
      </w:tr>
    </w:tbl>
    <w:p>
      <w:pPr>
        <w:adjustRightInd w:val="0"/>
        <w:snapToGrid w:val="0"/>
        <w:spacing w:line="360" w:lineRule="auto"/>
        <w:ind w:firstLine="482" w:firstLineChars="201"/>
        <w:rPr>
          <w:rFonts w:asciiTheme="minorEastAsia" w:hAnsiTheme="minorEastAsia" w:eastAsiaTheme="minorEastAsia"/>
          <w:sz w:val="24"/>
        </w:rPr>
      </w:pPr>
      <w:r>
        <w:rPr>
          <w:rFonts w:hint="eastAsia" w:asciiTheme="minorEastAsia" w:hAnsiTheme="minorEastAsia" w:eastAsiaTheme="minorEastAsia"/>
          <w:sz w:val="24"/>
        </w:rPr>
        <w:t>以上设备房设手提建筑灭火器灭火时，通风系统仅作做平时通风，且在进、排风支管均设防火阀。平时手动控制，火灾时，烟气温度达到70度，防火阀保险丝熔断动作，关闭防火阀，火灾结束后，手动复位。</w:t>
      </w:r>
    </w:p>
    <w:p>
      <w:pPr>
        <w:adjustRightInd w:val="0"/>
        <w:snapToGrid w:val="0"/>
        <w:spacing w:line="360" w:lineRule="auto"/>
        <w:ind w:firstLine="482" w:firstLineChars="201"/>
        <w:rPr>
          <w:rFonts w:asciiTheme="minorEastAsia" w:hAnsiTheme="minorEastAsia" w:eastAsiaTheme="minorEastAsia"/>
          <w:sz w:val="24"/>
        </w:rPr>
      </w:pPr>
      <w:r>
        <w:rPr>
          <w:rFonts w:hint="eastAsia" w:asciiTheme="minorEastAsia" w:hAnsiTheme="minorEastAsia" w:eastAsiaTheme="minorEastAsia"/>
          <w:sz w:val="24"/>
        </w:rPr>
        <w:t>以上设置机械通风系统的房间不满足自然补风条件时，需设机械补风系统，补风量按排风量的80%设计。</w:t>
      </w:r>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2、防排烟系统设计</w:t>
      </w:r>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（1）本工程没有超过20m内走道，建筑外廊开窗满足自然排烟条件，不需要设置额外机械排烟系统。</w:t>
      </w:r>
    </w:p>
    <w:p>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（2）地上建筑面积超过300m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且可燃物较多的房间及建筑面积大于100m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且经常有人停留的房间例如部分音乐教室、美术教室、多媒体教室、饭堂、报告厅体育馆等需设置排烟措施，若设置可开启外窗面积不小于房间面积2%，即可满足自然排烟的需求；若不满足自然排烟条件时，需设机械排烟系统。</w:t>
      </w:r>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（五）节能与环保</w:t>
      </w:r>
    </w:p>
    <w:p>
      <w:pPr>
        <w:adjustRightInd w:val="0"/>
        <w:snapToGrid w:val="0"/>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1、通风机除选择超低噪声产品外，落地安装风机均采用减振台座，吊装风机设减振吊架。风机进、出口设柔性软接头。</w:t>
      </w:r>
    </w:p>
    <w:p>
      <w:pPr>
        <w:adjustRightInd w:val="0"/>
        <w:snapToGrid w:val="0"/>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2、风机选用同等输入参数下效率较高的品牌，单位耗功率满足节能规范要求。</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3、所有设备的噪音需满足学校噪音限制要求。</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6.4  消防工程</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1、消防给水水源采用城市自来水。</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2、校区室外消火栓流量30L/s，室内消火栓流量15 L/s，火灾延续时间2h。</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3、本工程设18立方米的高位消防水箱。消防泵房紧邻消防水池，设有两条供水管接驳至室外埋地消火栓系统给水合用管网。</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4、消防给水管在校区用地范围内形成环状，室外设DN200消防环网及室外消火栓，室外消火栓间距不超过120米，距道路边不超过2米，距建筑外墙不小于5米。室内设DN150消火栓管网形成环状，火灾时采用消防水池-消防泵加压方式供水。消防水池及泵房拟</w:t>
      </w:r>
      <w:r>
        <w:rPr>
          <w:rFonts w:hint="eastAsia" w:asciiTheme="minorEastAsia" w:hAnsiTheme="minorEastAsia" w:eastAsiaTheme="minorEastAsia"/>
          <w:spacing w:val="10"/>
          <w:sz w:val="24"/>
        </w:rPr>
        <w:t>设于用地西北角</w:t>
      </w:r>
      <w:r>
        <w:rPr>
          <w:rFonts w:hint="eastAsia" w:asciiTheme="minorEastAsia" w:hAnsiTheme="minorEastAsia" w:eastAsiaTheme="minorEastAsia"/>
          <w:bCs/>
          <w:sz w:val="24"/>
        </w:rPr>
        <w:t>。设置消防水泵接合器，发生火灾时，消防车从现场室外消火栓取水，加压后灭火或通过消防水泵接合器送入室内消防管网。</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5、各建筑物各层均设消火栓进行保护，其布置保证任一位置均有两股水柱同时到达，充实水柱为10米，栓箱内配DN65消火栓一个、L25米麻质衬胶水带一根、Φ19mm直流水枪一支，消防卷盘一套。</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6、室内消火栓系统管材选用内外镀锌焊接钢管，室外消防给水管材采用离心球墨铸铁管。室外消火栓采用球墨铸铁消火栓。</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7、消防水量设计</w:t>
      </w:r>
    </w:p>
    <w:p>
      <w:pPr>
        <w:spacing w:line="360" w:lineRule="auto"/>
        <w:rPr>
          <w:rFonts w:asciiTheme="minorEastAsia" w:hAnsiTheme="minorEastAsia" w:eastAsiaTheme="minorEastAsia"/>
          <w:bCs/>
          <w:sz w:val="24"/>
        </w:rPr>
      </w:pPr>
      <w:r>
        <w:rPr>
          <w:rFonts w:asciiTheme="minorEastAsia" w:hAnsiTheme="minorEastAsia" w:eastAsiaTheme="minorEastAsia"/>
          <w:bCs/>
          <w:sz w:val="24"/>
        </w:rPr>
        <w:drawing>
          <wp:inline distT="0" distB="0" distL="0" distR="0">
            <wp:extent cx="5332095" cy="1353820"/>
            <wp:effectExtent l="19050" t="0" r="190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24"/>
                    <a:srcRect b="26042"/>
                    <a:stretch>
                      <a:fillRect/>
                    </a:stretch>
                  </pic:blipFill>
                  <pic:spPr>
                    <a:xfrm>
                      <a:off x="0" y="0"/>
                      <a:ext cx="5332095" cy="135382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bCs/>
          <w:sz w:val="24"/>
        </w:rPr>
      </w:pPr>
      <w:r>
        <w:rPr>
          <w:rFonts w:hint="eastAsia" w:asciiTheme="minorEastAsia" w:hAnsiTheme="minorEastAsia" w:eastAsiaTheme="minorEastAsia"/>
          <w:bCs/>
          <w:sz w:val="24"/>
        </w:rPr>
        <w:t>注：消防水池储水量为330立方米，可以满足一次灭火用水量的要求。</w:t>
      </w:r>
    </w:p>
    <w:p>
      <w:pPr>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8、校区各建筑均配置手提建筑灭火器。</w:t>
      </w:r>
    </w:p>
    <w:p>
      <w:pPr>
        <w:pStyle w:val="3"/>
      </w:pPr>
      <w:bookmarkStart w:id="58" w:name="_Toc509586062"/>
      <w:bookmarkStart w:id="59" w:name="_Toc515980403"/>
      <w:r>
        <w:rPr>
          <w:rFonts w:hint="eastAsia"/>
        </w:rPr>
        <w:t>6.4弱电系统</w:t>
      </w:r>
      <w:bookmarkEnd w:id="58"/>
      <w:bookmarkEnd w:id="59"/>
    </w:p>
    <w:p>
      <w:pPr>
        <w:spacing w:line="360" w:lineRule="auto"/>
        <w:ind w:firstLine="522" w:firstLineChars="200"/>
        <w:rPr>
          <w:rFonts w:asciiTheme="minorEastAsia" w:hAnsiTheme="minorEastAsia" w:eastAsiaTheme="minorEastAsia"/>
          <w:b/>
          <w:spacing w:val="10"/>
          <w:sz w:val="24"/>
        </w:rPr>
      </w:pPr>
      <w:r>
        <w:rPr>
          <w:rFonts w:hint="eastAsia" w:asciiTheme="minorEastAsia" w:hAnsiTheme="minorEastAsia" w:eastAsiaTheme="minorEastAsia"/>
          <w:b/>
          <w:spacing w:val="10"/>
          <w:sz w:val="24"/>
        </w:rPr>
        <w:t>（六）弱电系统</w:t>
      </w:r>
    </w:p>
    <w:p>
      <w:pPr>
        <w:spacing w:line="360" w:lineRule="auto"/>
        <w:ind w:firstLine="480" w:firstLineChars="200"/>
        <w:rPr>
          <w:rFonts w:ascii="宋体" w:hAnsi="宋体"/>
          <w:sz w:val="24"/>
        </w:rPr>
      </w:pPr>
      <w:r>
        <w:rPr>
          <w:rFonts w:hint="eastAsia" w:ascii="宋体" w:hAnsi="宋体"/>
          <w:sz w:val="24"/>
        </w:rPr>
        <w:t>1、综合布线系统</w:t>
      </w:r>
    </w:p>
    <w:p>
      <w:pPr>
        <w:spacing w:line="360" w:lineRule="auto"/>
        <w:ind w:firstLine="480" w:firstLineChars="200"/>
        <w:rPr>
          <w:rFonts w:ascii="宋体" w:hAnsi="宋体"/>
          <w:sz w:val="24"/>
        </w:rPr>
      </w:pPr>
      <w:r>
        <w:rPr>
          <w:rFonts w:hint="eastAsia" w:ascii="宋体" w:hAnsi="宋体"/>
          <w:sz w:val="24"/>
        </w:rPr>
        <w:t>1.1综合布线信号引自市政电信网，电话、网络干线采用光缆。</w:t>
      </w:r>
    </w:p>
    <w:p>
      <w:pPr>
        <w:spacing w:line="360" w:lineRule="auto"/>
        <w:ind w:firstLine="480" w:firstLineChars="200"/>
        <w:rPr>
          <w:rFonts w:ascii="宋体" w:hAnsi="宋体"/>
          <w:sz w:val="24"/>
        </w:rPr>
      </w:pPr>
      <w:r>
        <w:rPr>
          <w:rFonts w:hint="eastAsia" w:ascii="宋体" w:hAnsi="宋体"/>
          <w:sz w:val="24"/>
        </w:rPr>
        <w:t>1.2系统支持数据（网络）、语音（电话）服务，信息插座及各类配线选用六类线。</w:t>
      </w:r>
    </w:p>
    <w:p>
      <w:pPr>
        <w:spacing w:line="360" w:lineRule="auto"/>
        <w:ind w:firstLine="480" w:firstLineChars="200"/>
        <w:rPr>
          <w:rFonts w:ascii="宋体" w:hAnsi="宋体"/>
          <w:sz w:val="24"/>
        </w:rPr>
      </w:pPr>
      <w:r>
        <w:rPr>
          <w:rFonts w:hint="eastAsia" w:ascii="宋体" w:hAnsi="宋体"/>
          <w:sz w:val="24"/>
        </w:rPr>
        <w:t>1.3在各办公室、教室等场地设信息插座。</w:t>
      </w:r>
    </w:p>
    <w:p>
      <w:pPr>
        <w:spacing w:line="360" w:lineRule="auto"/>
        <w:ind w:firstLine="480" w:firstLineChars="200"/>
        <w:rPr>
          <w:rFonts w:ascii="宋体" w:hAnsi="宋体"/>
          <w:sz w:val="24"/>
        </w:rPr>
      </w:pPr>
      <w:r>
        <w:rPr>
          <w:rFonts w:hint="eastAsia" w:ascii="宋体" w:hAnsi="宋体"/>
          <w:sz w:val="24"/>
        </w:rPr>
        <w:t>2、有线电视系统</w:t>
      </w:r>
    </w:p>
    <w:p>
      <w:pPr>
        <w:spacing w:line="360" w:lineRule="auto"/>
        <w:ind w:firstLine="480" w:firstLineChars="200"/>
        <w:rPr>
          <w:rFonts w:ascii="宋体" w:hAnsi="宋体"/>
          <w:sz w:val="24"/>
        </w:rPr>
      </w:pPr>
      <w:r>
        <w:rPr>
          <w:rFonts w:hint="eastAsia" w:ascii="宋体" w:hAnsi="宋体"/>
          <w:sz w:val="24"/>
        </w:rPr>
        <w:t>电视信号引自校区市政电视系统，设独立的有线电视前端设备机房，在教室、会议室、食堂等场所设有线电视插座，系统采用分支分配系统。</w:t>
      </w:r>
    </w:p>
    <w:p>
      <w:pPr>
        <w:spacing w:line="360" w:lineRule="auto"/>
        <w:ind w:firstLine="480" w:firstLineChars="200"/>
        <w:rPr>
          <w:rFonts w:ascii="宋体" w:hAnsi="宋体"/>
          <w:sz w:val="24"/>
        </w:rPr>
      </w:pPr>
      <w:r>
        <w:rPr>
          <w:rFonts w:hint="eastAsia" w:ascii="宋体" w:hAnsi="宋体"/>
          <w:sz w:val="24"/>
        </w:rPr>
        <w:t>3、校园安防系统</w:t>
      </w:r>
    </w:p>
    <w:p>
      <w:pPr>
        <w:spacing w:line="360" w:lineRule="auto"/>
        <w:ind w:firstLine="480" w:firstLineChars="200"/>
        <w:rPr>
          <w:rFonts w:ascii="宋体" w:hAnsi="宋体"/>
          <w:sz w:val="24"/>
        </w:rPr>
      </w:pPr>
      <w:r>
        <w:rPr>
          <w:rFonts w:hint="eastAsia" w:ascii="宋体" w:hAnsi="宋体"/>
          <w:sz w:val="24"/>
        </w:rPr>
        <w:t>校园安防系统包括闭路电视监控系统、电铃及广播系统、电子巡更系统。</w:t>
      </w:r>
    </w:p>
    <w:p>
      <w:pPr>
        <w:spacing w:line="360" w:lineRule="auto"/>
        <w:ind w:firstLine="480" w:firstLineChars="200"/>
        <w:rPr>
          <w:rFonts w:ascii="宋体" w:hAnsi="宋体"/>
          <w:sz w:val="24"/>
        </w:rPr>
      </w:pPr>
      <w:r>
        <w:rPr>
          <w:rFonts w:hint="eastAsia" w:ascii="宋体" w:hAnsi="宋体"/>
          <w:sz w:val="24"/>
        </w:rPr>
        <w:t>3.1闭路电视监控系统</w:t>
      </w:r>
    </w:p>
    <w:p>
      <w:pPr>
        <w:spacing w:line="360" w:lineRule="auto"/>
        <w:ind w:firstLine="480" w:firstLineChars="200"/>
        <w:rPr>
          <w:rFonts w:ascii="宋体" w:hAnsi="宋体"/>
          <w:sz w:val="24"/>
        </w:rPr>
      </w:pPr>
      <w:r>
        <w:rPr>
          <w:rFonts w:hint="eastAsia" w:ascii="宋体" w:hAnsi="宋体"/>
          <w:sz w:val="24"/>
        </w:rPr>
        <w:t>3.1.1本系统由摄像机、矩阵控制器、硬盘录像机、监视器等设备组成。</w:t>
      </w:r>
    </w:p>
    <w:p>
      <w:pPr>
        <w:spacing w:line="360" w:lineRule="auto"/>
        <w:ind w:firstLine="480" w:firstLineChars="200"/>
        <w:rPr>
          <w:rFonts w:ascii="宋体" w:hAnsi="宋体"/>
          <w:sz w:val="24"/>
        </w:rPr>
      </w:pPr>
      <w:r>
        <w:rPr>
          <w:rFonts w:hint="eastAsia" w:ascii="宋体" w:hAnsi="宋体"/>
          <w:sz w:val="24"/>
        </w:rPr>
        <w:t>3.1.2各个出入口、教学用房内及各层走道适当位置设置固定摄相机。对以上场所进行24小时闭路监控。</w:t>
      </w:r>
    </w:p>
    <w:p>
      <w:pPr>
        <w:spacing w:line="360" w:lineRule="auto"/>
        <w:ind w:firstLine="480" w:firstLineChars="200"/>
        <w:rPr>
          <w:rFonts w:ascii="宋体" w:hAnsi="宋体"/>
          <w:sz w:val="24"/>
        </w:rPr>
      </w:pPr>
      <w:r>
        <w:rPr>
          <w:rFonts w:hint="eastAsia" w:ascii="宋体" w:hAnsi="宋体"/>
          <w:sz w:val="24"/>
        </w:rPr>
        <w:t>3.2校园广播系统</w:t>
      </w:r>
    </w:p>
    <w:p>
      <w:pPr>
        <w:spacing w:line="360" w:lineRule="auto"/>
        <w:ind w:firstLine="480" w:firstLineChars="200"/>
        <w:rPr>
          <w:rFonts w:ascii="宋体" w:hAnsi="宋体"/>
          <w:sz w:val="24"/>
        </w:rPr>
      </w:pPr>
      <w:r>
        <w:rPr>
          <w:rFonts w:hint="eastAsia" w:ascii="宋体" w:hAnsi="宋体"/>
          <w:sz w:val="24"/>
        </w:rPr>
        <w:t>各教学用房、办公室设广播系统，教学用房、办公室广播系统分开敷设。</w:t>
      </w:r>
    </w:p>
    <w:p>
      <w:pPr>
        <w:spacing w:line="360" w:lineRule="auto"/>
        <w:ind w:firstLine="480" w:firstLineChars="200"/>
        <w:rPr>
          <w:rFonts w:ascii="宋体" w:hAnsi="宋体"/>
          <w:sz w:val="24"/>
        </w:rPr>
      </w:pPr>
      <w:r>
        <w:rPr>
          <w:rFonts w:hint="eastAsia" w:ascii="宋体" w:hAnsi="宋体"/>
          <w:sz w:val="24"/>
        </w:rPr>
        <w:t>4、多媒体教学系统</w:t>
      </w:r>
    </w:p>
    <w:p>
      <w:pPr>
        <w:spacing w:line="360" w:lineRule="auto"/>
        <w:ind w:firstLine="480" w:firstLineChars="200"/>
        <w:rPr>
          <w:rFonts w:ascii="宋体" w:hAnsi="宋体"/>
          <w:sz w:val="24"/>
        </w:rPr>
      </w:pPr>
      <w:r>
        <w:rPr>
          <w:rFonts w:hint="eastAsia" w:ascii="宋体" w:hAnsi="宋体"/>
          <w:sz w:val="24"/>
        </w:rPr>
        <w:t>在各教室内设置多媒体教学系统；教学应用多种实用功能其人性化和柔性化的操作使用方式，为广大教师和管理人员提供便捷的多媒体教学工具和管理手段。设置教学指挥中心。在教学指挥中心设电视墙，采用等离子电视拼接屏进行显示，通过画面分割，可以对各个教室图像进行分割或全屏实时显示，在操作台上安装管理电脑，可以对一些事件进行显示及处理；在分管校长办公室内电脑上安装校长管理与教学副控系统软件后，在本电脑上可以对任一个教室内教师上课情况进行观看（室内离子电视）及在线评估。</w:t>
      </w:r>
    </w:p>
    <w:p>
      <w:pPr>
        <w:spacing w:line="360" w:lineRule="auto"/>
        <w:ind w:firstLine="480" w:firstLineChars="200"/>
        <w:rPr>
          <w:rFonts w:ascii="宋体" w:hAnsi="宋体"/>
          <w:sz w:val="24"/>
        </w:rPr>
      </w:pPr>
      <w:r>
        <w:rPr>
          <w:rFonts w:hint="eastAsia" w:ascii="宋体" w:hAnsi="宋体"/>
          <w:sz w:val="24"/>
        </w:rPr>
        <w:t>5、多媒体信息发布系统</w:t>
      </w:r>
    </w:p>
    <w:p>
      <w:pPr>
        <w:spacing w:line="360" w:lineRule="auto"/>
        <w:ind w:firstLine="480" w:firstLineChars="200"/>
        <w:rPr>
          <w:rFonts w:ascii="宋体" w:hAnsi="宋体"/>
          <w:sz w:val="24"/>
        </w:rPr>
      </w:pPr>
      <w:r>
        <w:rPr>
          <w:rFonts w:hint="eastAsia" w:ascii="宋体" w:hAnsi="宋体"/>
          <w:sz w:val="24"/>
        </w:rPr>
        <w:t>校园多媒体信息发布系统的几大主要部分：</w:t>
      </w:r>
    </w:p>
    <w:p>
      <w:pPr>
        <w:spacing w:line="360" w:lineRule="auto"/>
        <w:ind w:firstLine="480" w:firstLineChars="200"/>
        <w:rPr>
          <w:rFonts w:ascii="宋体" w:hAnsi="宋体"/>
          <w:sz w:val="24"/>
        </w:rPr>
      </w:pPr>
      <w:r>
        <w:rPr>
          <w:rFonts w:hint="eastAsia" w:ascii="宋体" w:hAnsi="宋体"/>
          <w:sz w:val="24"/>
        </w:rPr>
        <w:t>（1）教学楼走廊液晶显示器的多媒体信息发布系统：课间娱乐动画视频，学校新闻，公告，考试安排，会议信息等。</w:t>
      </w:r>
    </w:p>
    <w:p>
      <w:pPr>
        <w:spacing w:line="360" w:lineRule="auto"/>
        <w:ind w:firstLine="480" w:firstLineChars="200"/>
        <w:rPr>
          <w:rFonts w:ascii="宋体" w:hAnsi="宋体"/>
          <w:sz w:val="24"/>
        </w:rPr>
      </w:pPr>
      <w:r>
        <w:rPr>
          <w:rFonts w:hint="eastAsia" w:ascii="宋体" w:hAnsi="宋体"/>
          <w:sz w:val="24"/>
        </w:rPr>
        <w:t>（2）教室看板：班级文化宣传，班级会议安排。</w:t>
      </w:r>
    </w:p>
    <w:p>
      <w:pPr>
        <w:spacing w:line="360" w:lineRule="auto"/>
        <w:ind w:firstLine="480" w:firstLineChars="200"/>
        <w:rPr>
          <w:rFonts w:ascii="宋体" w:hAnsi="宋体"/>
          <w:sz w:val="24"/>
        </w:rPr>
      </w:pPr>
      <w:r>
        <w:rPr>
          <w:rFonts w:hint="eastAsia" w:ascii="宋体" w:hAnsi="宋体"/>
          <w:sz w:val="24"/>
        </w:rPr>
        <w:t>（3）体育馆、阶梯教室多媒体信息发布系统：学生活动的公告，学生节日的活动安排，社团会议安排。</w:t>
      </w:r>
    </w:p>
    <w:p>
      <w:pPr>
        <w:spacing w:line="360" w:lineRule="auto"/>
        <w:ind w:firstLine="480" w:firstLineChars="200"/>
        <w:rPr>
          <w:rFonts w:ascii="宋体" w:hAnsi="宋体"/>
          <w:sz w:val="24"/>
        </w:rPr>
      </w:pPr>
      <w:r>
        <w:rPr>
          <w:rFonts w:hint="eastAsia" w:ascii="宋体" w:hAnsi="宋体"/>
          <w:sz w:val="24"/>
        </w:rPr>
        <w:t>6、图书室及档案管理系统</w:t>
      </w:r>
    </w:p>
    <w:p>
      <w:pPr>
        <w:spacing w:line="360" w:lineRule="auto"/>
        <w:ind w:firstLine="480" w:firstLineChars="200"/>
        <w:rPr>
          <w:rFonts w:ascii="宋体" w:hAnsi="宋体"/>
          <w:sz w:val="24"/>
        </w:rPr>
      </w:pPr>
      <w:r>
        <w:rPr>
          <w:rFonts w:hint="eastAsia" w:ascii="宋体" w:hAnsi="宋体"/>
          <w:sz w:val="24"/>
        </w:rPr>
        <w:t>在图书室及档案室设置管理系统。该系统主要分为两部分：读者部分和管理员部分。为了方便读者查找自己感兴趣的主题进行阅读，要将图书按照内容进行分类。读者可以按照类别进行查找，逐级浏览、可以查看自己的信息。本系统还可对用户的账号和书目的阅读权限进行管理。管理员需要给用户分配用户名和密码，及设定用户的级别，还为用户提供图书的排行榜让用户能知道那些图书受到大家的欢迎。</w:t>
      </w:r>
    </w:p>
    <w:p>
      <w:pPr>
        <w:spacing w:line="360" w:lineRule="auto"/>
        <w:ind w:firstLine="480" w:firstLineChars="200"/>
        <w:rPr>
          <w:rFonts w:ascii="宋体" w:hAnsi="宋体"/>
          <w:sz w:val="24"/>
        </w:rPr>
      </w:pPr>
      <w:r>
        <w:rPr>
          <w:rFonts w:hint="eastAsia" w:ascii="宋体" w:hAnsi="宋体"/>
          <w:sz w:val="24"/>
        </w:rPr>
        <w:t>7、消费系统</w:t>
      </w:r>
    </w:p>
    <w:p>
      <w:pPr>
        <w:spacing w:line="360" w:lineRule="auto"/>
        <w:ind w:firstLine="480" w:firstLineChars="200"/>
        <w:rPr>
          <w:rFonts w:ascii="宋体" w:hAnsi="宋体"/>
          <w:sz w:val="24"/>
        </w:rPr>
      </w:pPr>
      <w:r>
        <w:rPr>
          <w:rFonts w:hint="eastAsia" w:ascii="宋体" w:hAnsi="宋体"/>
          <w:sz w:val="24"/>
        </w:rPr>
        <w:t>在食堂设置消费系统。消费系统的使用将取代饭菜票和现金在食堂中的流通，节约了票证制作、补充的费用，防止票证和伪造，杜绝流通环节的漏洞，有效阻断票证流通造成的污染和病菌传播。同时，简化了就餐手续，省去了票证清点过程，提高了工作效率，有效的控制盒加强了财务和现金管理。</w:t>
      </w:r>
    </w:p>
    <w:p>
      <w:pPr>
        <w:spacing w:line="360" w:lineRule="auto"/>
        <w:ind w:firstLine="480" w:firstLineChars="200"/>
        <w:rPr>
          <w:rFonts w:ascii="宋体" w:hAnsi="宋体"/>
          <w:sz w:val="24"/>
        </w:rPr>
      </w:pPr>
      <w:r>
        <w:rPr>
          <w:rFonts w:hint="eastAsia" w:ascii="宋体" w:hAnsi="宋体"/>
          <w:sz w:val="24"/>
        </w:rPr>
        <w:t>以上各智能化系统可建立在全数字化的校园网基础上，符合成熟的TCP/IP 协议标准，真正实现多媒体教学、教学评估、考场监控、校园数码广播、会议广播、网络电视、信息发布等多网合一，使校园网成为易用、好用、功能强大的现代化的数字多媒体综合校园网。</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60" w:name="_Toc498870099"/>
      <w:bookmarkStart w:id="61" w:name="_Toc509586063"/>
      <w:bookmarkStart w:id="62" w:name="_Toc515980404"/>
      <w:bookmarkStart w:id="63" w:name="_Toc509584568"/>
      <w:r>
        <w:rPr>
          <w:rFonts w:hint="eastAsia" w:ascii="宋体" w:hAnsi="宋体"/>
          <w:bCs w:val="0"/>
          <w:kern w:val="2"/>
          <w:sz w:val="36"/>
        </w:rPr>
        <w:t xml:space="preserve">第七章  </w:t>
      </w:r>
      <w:bookmarkEnd w:id="60"/>
      <w:r>
        <w:rPr>
          <w:rFonts w:hint="eastAsia" w:ascii="宋体" w:hAnsi="宋体"/>
          <w:bCs w:val="0"/>
          <w:kern w:val="2"/>
          <w:sz w:val="36"/>
        </w:rPr>
        <w:t>节能</w:t>
      </w:r>
      <w:bookmarkEnd w:id="61"/>
      <w:bookmarkEnd w:id="62"/>
      <w:bookmarkEnd w:id="63"/>
    </w:p>
    <w:p>
      <w:pPr>
        <w:pStyle w:val="3"/>
      </w:pPr>
      <w:bookmarkStart w:id="64" w:name="_Toc509586064"/>
      <w:bookmarkStart w:id="65" w:name="_Toc515980405"/>
      <w:r>
        <w:rPr>
          <w:rFonts w:hint="eastAsia"/>
        </w:rPr>
        <w:t>7.1  编制依据</w:t>
      </w:r>
      <w:bookmarkEnd w:id="64"/>
      <w:bookmarkEnd w:id="65"/>
    </w:p>
    <w:p>
      <w:pPr>
        <w:spacing w:line="360" w:lineRule="auto"/>
        <w:rPr>
          <w:rFonts w:ascii="宋体" w:hAnsi="宋体"/>
          <w:b/>
          <w:sz w:val="24"/>
        </w:rPr>
      </w:pPr>
      <w:r>
        <w:rPr>
          <w:rFonts w:hint="eastAsia" w:ascii="宋体" w:hAnsi="宋体"/>
          <w:b/>
          <w:sz w:val="24"/>
        </w:rPr>
        <w:t>设计依据</w:t>
      </w:r>
    </w:p>
    <w:p>
      <w:pPr>
        <w:spacing w:line="360" w:lineRule="auto"/>
        <w:ind w:firstLine="465"/>
        <w:rPr>
          <w:rFonts w:ascii="宋体" w:hAnsi="宋体"/>
          <w:sz w:val="24"/>
        </w:rPr>
      </w:pPr>
      <w:r>
        <w:rPr>
          <w:rFonts w:ascii="宋体" w:hAnsi="宋体"/>
          <w:sz w:val="24"/>
        </w:rPr>
        <w:t>《公共建筑节能设计标准》GB50189-20</w:t>
      </w:r>
      <w:r>
        <w:rPr>
          <w:rFonts w:hint="eastAsia" w:ascii="宋体" w:hAnsi="宋体"/>
          <w:sz w:val="24"/>
        </w:rPr>
        <w:t>15</w:t>
      </w:r>
    </w:p>
    <w:p>
      <w:pPr>
        <w:spacing w:line="360" w:lineRule="auto"/>
        <w:ind w:firstLine="465"/>
        <w:rPr>
          <w:rFonts w:ascii="宋体" w:hAnsi="宋体"/>
          <w:sz w:val="24"/>
        </w:rPr>
      </w:pPr>
      <w:r>
        <w:rPr>
          <w:rFonts w:ascii="宋体" w:hAnsi="宋体"/>
          <w:sz w:val="24"/>
        </w:rPr>
        <w:t>《民用建筑热工设计规范》</w:t>
      </w:r>
      <w:r>
        <w:rPr>
          <w:rFonts w:ascii="宋体" w:hAnsi="宋体"/>
          <w:bCs/>
          <w:sz w:val="24"/>
        </w:rPr>
        <w:t>GB 50176-2016</w:t>
      </w:r>
    </w:p>
    <w:p>
      <w:pPr>
        <w:spacing w:line="360" w:lineRule="auto"/>
        <w:ind w:firstLine="465"/>
        <w:rPr>
          <w:rFonts w:ascii="宋体" w:hAnsi="宋体"/>
          <w:sz w:val="24"/>
        </w:rPr>
      </w:pPr>
      <w:r>
        <w:rPr>
          <w:rFonts w:ascii="宋体" w:hAnsi="宋体"/>
          <w:sz w:val="24"/>
        </w:rPr>
        <w:t>《建筑外门窗气密、水密、抗风压性能分级及检测方法》GB/T7106-2008</w:t>
      </w:r>
    </w:p>
    <w:p>
      <w:pPr>
        <w:spacing w:line="360" w:lineRule="auto"/>
        <w:ind w:firstLine="465"/>
        <w:rPr>
          <w:rFonts w:ascii="宋体" w:hAnsi="宋体"/>
          <w:sz w:val="24"/>
        </w:rPr>
      </w:pPr>
      <w:r>
        <w:rPr>
          <w:rFonts w:ascii="宋体" w:hAnsi="宋体"/>
          <w:sz w:val="24"/>
        </w:rPr>
        <w:t>《建筑幕墙》GB/T21086-2007</w:t>
      </w:r>
    </w:p>
    <w:p>
      <w:pPr>
        <w:pStyle w:val="3"/>
      </w:pPr>
      <w:bookmarkStart w:id="66" w:name="_Toc509586065"/>
      <w:bookmarkStart w:id="67" w:name="_Toc515980406"/>
      <w:r>
        <w:rPr>
          <w:rFonts w:hint="eastAsia"/>
        </w:rPr>
        <w:t>7.2  项目所在地能源供应状况</w:t>
      </w:r>
      <w:bookmarkEnd w:id="66"/>
      <w:bookmarkEnd w:id="67"/>
    </w:p>
    <w:p>
      <w:pPr>
        <w:spacing w:line="360" w:lineRule="auto"/>
        <w:ind w:firstLine="465"/>
        <w:rPr>
          <w:rFonts w:ascii="宋体" w:hAnsi="宋体"/>
          <w:sz w:val="24"/>
        </w:rPr>
      </w:pPr>
      <w:r>
        <w:rPr>
          <w:rFonts w:hint="eastAsia" w:ascii="宋体" w:hAnsi="宋体"/>
          <w:sz w:val="24"/>
        </w:rPr>
        <w:t>本工程地处广东省珠海市，属夏热冬暖地区(南区)公共建筑，满足夏季防热要求为主。依据《公共建筑节能设计标准》GB50189-2015进行建筑节能设计。</w:t>
      </w:r>
    </w:p>
    <w:p>
      <w:pPr>
        <w:adjustRightInd w:val="0"/>
        <w:snapToGrid w:val="0"/>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color w:val="auto"/>
          <w:sz w:val="24"/>
        </w:rPr>
        <w:t>项目规划总建筑面积38276.77㎡，</w:t>
      </w:r>
      <w:r>
        <w:rPr>
          <w:rFonts w:hint="eastAsia" w:asciiTheme="minorEastAsia" w:hAnsiTheme="minorEastAsia" w:eastAsiaTheme="minorEastAsia"/>
          <w:sz w:val="24"/>
        </w:rPr>
        <w:t>主要建设的内容为教学设施。</w:t>
      </w:r>
    </w:p>
    <w:p>
      <w:pPr>
        <w:spacing w:line="360" w:lineRule="auto"/>
        <w:ind w:firstLine="480"/>
        <w:rPr>
          <w:rFonts w:cs="仿宋_GB2312" w:asciiTheme="minorEastAsia" w:hAnsiTheme="minorEastAsia" w:eastAsiaTheme="minorEastAsia"/>
          <w:kern w:val="0"/>
          <w:sz w:val="24"/>
        </w:rPr>
      </w:pPr>
      <w:r>
        <w:rPr>
          <w:rFonts w:hint="eastAsia" w:asciiTheme="minorEastAsia" w:hAnsiTheme="minorEastAsia" w:eastAsiaTheme="minorEastAsia"/>
          <w:sz w:val="24"/>
        </w:rPr>
        <w:t>本项目主要耗能品种为电力、新水。</w:t>
      </w:r>
      <w:r>
        <w:rPr>
          <w:rFonts w:cs="仿宋_GB2312" w:asciiTheme="minorEastAsia" w:hAnsiTheme="minorEastAsia" w:eastAsiaTheme="minorEastAsia"/>
          <w:kern w:val="0"/>
          <w:sz w:val="24"/>
        </w:rPr>
        <w:t>各种能源折标准煤系数</w:t>
      </w:r>
      <w:r>
        <w:rPr>
          <w:rFonts w:hint="eastAsia" w:cs="仿宋_GB2312" w:asciiTheme="minorEastAsia" w:hAnsiTheme="minorEastAsia" w:eastAsiaTheme="minorEastAsia"/>
          <w:kern w:val="0"/>
          <w:sz w:val="24"/>
        </w:rPr>
        <w:t>，电力按1.229吨标煤/（万kWh），水按0.0857千克标煤/t</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其中：</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1、年耗电量（主要为照明系统、通风系统、生活用电及水泵系统等）为72.61万kWh，折算年综合能耗89.24吨标煤。</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2、年用水量（主要为生活用水、清洁用水及绿化用水）78933</w:t>
      </w:r>
      <w:r>
        <w:rPr>
          <w:rFonts w:asciiTheme="minorEastAsia" w:hAnsiTheme="minorEastAsia" w:eastAsiaTheme="minorEastAsia"/>
          <w:bCs/>
          <w:sz w:val="24"/>
        </w:rPr>
        <w:t>m</w:t>
      </w:r>
      <w:r>
        <w:rPr>
          <w:rFonts w:asciiTheme="minorEastAsia" w:hAnsiTheme="minorEastAsia" w:eastAsiaTheme="minorEastAsia"/>
          <w:bCs/>
          <w:sz w:val="24"/>
          <w:vertAlign w:val="superscript"/>
        </w:rPr>
        <w:t>3</w:t>
      </w:r>
      <w:r>
        <w:rPr>
          <w:rFonts w:hint="eastAsia" w:asciiTheme="minorEastAsia" w:hAnsiTheme="minorEastAsia" w:eastAsiaTheme="minorEastAsia"/>
          <w:sz w:val="24"/>
        </w:rPr>
        <w:t>，折算年综合能耗6.76吨标煤。</w:t>
      </w:r>
    </w:p>
    <w:p>
      <w:pPr>
        <w:spacing w:beforeLines="100" w:afterLines="50"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能耗分析</w:t>
      </w:r>
    </w:p>
    <w:p>
      <w:pPr>
        <w:spacing w:line="360" w:lineRule="auto"/>
        <w:ind w:firstLine="480" w:firstLineChars="200"/>
        <w:rPr>
          <w:rFonts w:asciiTheme="minorEastAsia" w:hAnsiTheme="minorEastAsia" w:eastAsiaTheme="minorEastAsia"/>
          <w:bCs/>
          <w:snapToGrid w:val="0"/>
          <w:kern w:val="0"/>
          <w:sz w:val="24"/>
        </w:rPr>
      </w:pPr>
      <w:r>
        <w:rPr>
          <w:rFonts w:hint="eastAsia" w:asciiTheme="minorEastAsia" w:hAnsiTheme="minorEastAsia" w:eastAsiaTheme="minorEastAsia"/>
          <w:sz w:val="24"/>
        </w:rPr>
        <w:t>本项目综合能耗约96吨标煤/年，平均3.45kg标煤/m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*年。</w:t>
      </w:r>
    </w:p>
    <w:p>
      <w:pPr>
        <w:spacing w:line="360" w:lineRule="auto"/>
        <w:ind w:firstLine="480" w:firstLineChars="200"/>
        <w:rPr>
          <w:rFonts w:asciiTheme="minorEastAsia" w:hAnsiTheme="minorEastAsia" w:eastAsiaTheme="minorEastAsia"/>
          <w:bCs/>
          <w:snapToGrid w:val="0"/>
          <w:kern w:val="0"/>
          <w:sz w:val="24"/>
        </w:rPr>
      </w:pPr>
      <w:r>
        <w:rPr>
          <w:rFonts w:asciiTheme="minorEastAsia" w:hAnsiTheme="minorEastAsia" w:eastAsiaTheme="minorEastAsia"/>
          <w:bCs/>
          <w:snapToGrid w:val="0"/>
          <w:kern w:val="0"/>
          <w:sz w:val="24"/>
        </w:rPr>
        <w:t>根据项目所采取的节能技术及管理措施，项目</w:t>
      </w:r>
      <w:r>
        <w:rPr>
          <w:rFonts w:hint="eastAsia" w:asciiTheme="minorEastAsia" w:hAnsiTheme="minorEastAsia" w:eastAsiaTheme="minorEastAsia"/>
          <w:bCs/>
          <w:snapToGrid w:val="0"/>
          <w:kern w:val="0"/>
          <w:sz w:val="24"/>
        </w:rPr>
        <w:t>能耗指标</w:t>
      </w:r>
      <w:r>
        <w:rPr>
          <w:rFonts w:asciiTheme="minorEastAsia" w:hAnsiTheme="minorEastAsia" w:eastAsiaTheme="minorEastAsia"/>
          <w:bCs/>
          <w:snapToGrid w:val="0"/>
          <w:kern w:val="0"/>
          <w:sz w:val="24"/>
        </w:rPr>
        <w:t>符合</w:t>
      </w:r>
      <w:r>
        <w:rPr>
          <w:rFonts w:hint="eastAsia" w:asciiTheme="minorEastAsia" w:hAnsiTheme="minorEastAsia" w:eastAsiaTheme="minorEastAsia"/>
          <w:bCs/>
          <w:snapToGrid w:val="0"/>
          <w:kern w:val="0"/>
          <w:sz w:val="24"/>
        </w:rPr>
        <w:t>广东</w:t>
      </w:r>
      <w:r>
        <w:rPr>
          <w:rFonts w:asciiTheme="minorEastAsia" w:hAnsiTheme="minorEastAsia" w:eastAsiaTheme="minorEastAsia"/>
          <w:bCs/>
          <w:snapToGrid w:val="0"/>
          <w:kern w:val="0"/>
          <w:sz w:val="24"/>
        </w:rPr>
        <w:t>省</w:t>
      </w:r>
      <w:r>
        <w:rPr>
          <w:rFonts w:hint="eastAsia" w:asciiTheme="minorEastAsia" w:hAnsiTheme="minorEastAsia" w:eastAsiaTheme="minorEastAsia"/>
          <w:bCs/>
          <w:snapToGrid w:val="0"/>
          <w:kern w:val="0"/>
          <w:sz w:val="24"/>
        </w:rPr>
        <w:t>、珠海</w:t>
      </w:r>
      <w:r>
        <w:rPr>
          <w:rFonts w:asciiTheme="minorEastAsia" w:hAnsiTheme="minorEastAsia" w:eastAsiaTheme="minorEastAsia"/>
          <w:bCs/>
          <w:snapToGrid w:val="0"/>
          <w:kern w:val="0"/>
          <w:sz w:val="24"/>
        </w:rPr>
        <w:t>市相关节能要求。</w:t>
      </w:r>
    </w:p>
    <w:p>
      <w:pPr>
        <w:pStyle w:val="3"/>
        <w:rPr>
          <w:snapToGrid w:val="0"/>
          <w:kern w:val="0"/>
        </w:rPr>
      </w:pPr>
      <w:bookmarkStart w:id="68" w:name="_Toc509586066"/>
      <w:bookmarkStart w:id="69" w:name="_Toc515980407"/>
      <w:r>
        <w:rPr>
          <w:rFonts w:hint="eastAsia"/>
          <w:snapToGrid w:val="0"/>
          <w:kern w:val="0"/>
        </w:rPr>
        <w:t>7.3  节能措施</w:t>
      </w:r>
      <w:bookmarkEnd w:id="68"/>
      <w:bookmarkEnd w:id="69"/>
    </w:p>
    <w:p>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b/>
          <w:sz w:val="24"/>
        </w:rPr>
        <w:t>建筑节能设计</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1、本工程地处广东省珠海市，属夏热冬暖地区(南区)公共建筑，满足夏季防热要求为主。依据《公共建筑节能设计标准》GB50189-2015进行建筑节能设计。</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2、建筑围护结构构造</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2.1 屋面做法：</w:t>
      </w:r>
    </w:p>
    <w:p>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屋面工程设计遵照“保证功能、构造合理，防排结合、优选用材、美观耐用”的原则</w:t>
      </w:r>
      <w:r>
        <w:rPr>
          <w:rFonts w:hint="eastAsia" w:asciiTheme="minorEastAsia" w:hAnsiTheme="minorEastAsia" w:eastAsiaTheme="minorEastAsia"/>
          <w:sz w:val="24"/>
        </w:rPr>
        <w:t>。采用了导热系数较低的挤塑聚苯保温板做保温隔热层，有效阻隔过多的热量从屋顶透过室内，起到了保温隔热效果。</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2.2 外墙材料：</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外墙砌体主要采用200加气混凝土砌块，减轻建筑总重，节约能耗。东西向热桥部位及架空部位均采用膨胀玻化微珠保温砂浆内保温，砌筑保温砂浆时应</w:t>
      </w:r>
      <w:r>
        <w:rPr>
          <w:rFonts w:asciiTheme="minorEastAsia" w:hAnsiTheme="minorEastAsia" w:eastAsiaTheme="minorEastAsia"/>
          <w:sz w:val="24"/>
        </w:rPr>
        <w:t>能适应基层墙体的正常变形而不产生裂缝、空鼓和脱落。</w:t>
      </w:r>
    </w:p>
    <w:p>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2.3 外门窗：</w:t>
      </w:r>
    </w:p>
    <w:p>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sz w:val="24"/>
        </w:rPr>
        <w:t>本项目临街采用普通铝合金窗6+12A+6中空玻璃，非临街外窗采用普通铝合金窗吸热玻璃。</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三、给排水节能设计</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1、首层至二层采用市政给水管网直接供水。</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2、选用优质管材、所有用水器具及阀门等配件均采用节水型产品，如采用配置</w:t>
      </w:r>
      <w:r>
        <w:rPr>
          <w:rFonts w:asciiTheme="minorEastAsia" w:hAnsiTheme="minorEastAsia" w:eastAsiaTheme="minorEastAsia"/>
          <w:color w:val="auto"/>
        </w:rPr>
        <w:t>4.8</w:t>
      </w:r>
      <w:r>
        <w:rPr>
          <w:rFonts w:hint="eastAsia" w:asciiTheme="minorEastAsia" w:hAnsiTheme="minorEastAsia" w:eastAsiaTheme="minorEastAsia"/>
          <w:color w:val="auto"/>
        </w:rPr>
        <w:t>升、两档式冲洗水箱的坐便器、延时自闭式冲洗阀、陶瓷阀芯给水龙头等。</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3、厨房、餐厅、办公用水等用水点均单独设置水表计量，以便有效管理及监察用水量，避免浪费。</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4、水泵选型尽可能使工况点位于水泵扬程曲线的最高效区段内。</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5、水池、水箱溢流水位均设报警装置，防止进水管阀门故障时，水池、水箱长时间溢流排水。</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6、对大于</w:t>
      </w:r>
      <w:r>
        <w:rPr>
          <w:rFonts w:asciiTheme="minorEastAsia" w:hAnsiTheme="minorEastAsia" w:eastAsiaTheme="minorEastAsia"/>
          <w:color w:val="auto"/>
        </w:rPr>
        <w:t>0.20Mpa</w:t>
      </w:r>
      <w:r>
        <w:rPr>
          <w:rFonts w:hint="eastAsia" w:asciiTheme="minorEastAsia" w:hAnsiTheme="minorEastAsia" w:eastAsiaTheme="minorEastAsia"/>
          <w:color w:val="auto"/>
        </w:rPr>
        <w:t>的给水支管设减压阀减压。</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四、电气节能</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1、本工程采取以下电气节能措施：</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1.1</w:t>
      </w:r>
      <w:r>
        <w:rPr>
          <w:rFonts w:asciiTheme="minorEastAsia" w:hAnsiTheme="minorEastAsia" w:eastAsiaTheme="minorEastAsia"/>
          <w:color w:val="auto"/>
        </w:rPr>
        <w:t>供配电系统节能：降低配电系统自身的能耗，提高设备用能效率；</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1.2</w:t>
      </w:r>
      <w:r>
        <w:rPr>
          <w:rFonts w:asciiTheme="minorEastAsia" w:hAnsiTheme="minorEastAsia" w:eastAsiaTheme="minorEastAsia"/>
          <w:color w:val="auto"/>
        </w:rPr>
        <w:t>自控系统节能：提高机电设备的能效比，使机电系统高效运行；</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1.3</w:t>
      </w:r>
      <w:r>
        <w:rPr>
          <w:rFonts w:asciiTheme="minorEastAsia" w:hAnsiTheme="minorEastAsia" w:eastAsiaTheme="minorEastAsia"/>
          <w:color w:val="auto"/>
        </w:rPr>
        <w:t>照明节能：提高照明方式与照明器具的效率，实现照明系统的实时控制；</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1.4</w:t>
      </w:r>
      <w:r>
        <w:rPr>
          <w:rFonts w:asciiTheme="minorEastAsia" w:hAnsiTheme="minorEastAsia" w:eastAsiaTheme="minorEastAsia"/>
          <w:color w:val="auto"/>
        </w:rPr>
        <w:t>节能管理：避免人为浪费，为提高用能管理水平提供技术手段。</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2、供配电系统节能措施</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2.1  按照经济电流合理选择电缆截面，降低线路损耗。</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2.2  在低压配电系统设功率因数自动补偿装置，补偿后的功率因数大于0.93，减少无功损耗。</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2.3空调器、水泵等采用节能型电动机，提高电动机的能效。</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3、 照明节能措施</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3.1  按照《建筑照明设计标准》（GB50034-2013），严格控制各个场所的照度值与照明功率密度值。本工程各个场所的设计照度值与照明功率密度值如下：</w:t>
      </w:r>
    </w:p>
    <w:tbl>
      <w:tblPr>
        <w:tblStyle w:val="19"/>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8"/>
        <w:gridCol w:w="1276"/>
        <w:gridCol w:w="3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部位</w:t>
            </w:r>
          </w:p>
        </w:tc>
        <w:tc>
          <w:tcPr>
            <w:tcW w:w="1276" w:type="dxa"/>
            <w:vAlign w:val="center"/>
          </w:tcPr>
          <w:p>
            <w:pPr>
              <w:pStyle w:val="23"/>
              <w:spacing w:line="360" w:lineRule="auto"/>
              <w:ind w:left="53"/>
              <w:rPr>
                <w:rFonts w:asciiTheme="minorEastAsia" w:hAnsiTheme="minorEastAsia" w:eastAsiaTheme="minorEastAsia"/>
                <w:color w:val="auto"/>
                <w:kern w:val="2"/>
              </w:rPr>
            </w:pPr>
            <w:r>
              <w:rPr>
                <w:rFonts w:hint="eastAsia" w:asciiTheme="minorEastAsia" w:hAnsiTheme="minorEastAsia" w:eastAsiaTheme="minorEastAsia"/>
                <w:color w:val="auto"/>
                <w:kern w:val="2"/>
              </w:rPr>
              <w:t>照度</w:t>
            </w:r>
            <w:r>
              <w:rPr>
                <w:rFonts w:asciiTheme="minorEastAsia" w:hAnsiTheme="minorEastAsia" w:eastAsiaTheme="minorEastAsia"/>
                <w:color w:val="auto"/>
                <w:kern w:val="2"/>
              </w:rPr>
              <w:t>(Lux)</w:t>
            </w:r>
          </w:p>
        </w:tc>
        <w:tc>
          <w:tcPr>
            <w:tcW w:w="3270" w:type="dxa"/>
            <w:vAlign w:val="center"/>
          </w:tcPr>
          <w:p>
            <w:pPr>
              <w:pStyle w:val="23"/>
              <w:spacing w:line="360" w:lineRule="auto"/>
              <w:ind w:left="1" w:leftChars="-7" w:hanging="16" w:hangingChars="7"/>
              <w:rPr>
                <w:rFonts w:asciiTheme="minorEastAsia" w:hAnsiTheme="minorEastAsia" w:eastAsiaTheme="minorEastAsia"/>
                <w:color w:val="auto"/>
                <w:kern w:val="2"/>
              </w:rPr>
            </w:pPr>
            <w:r>
              <w:rPr>
                <w:rFonts w:hint="eastAsia" w:asciiTheme="minorEastAsia" w:hAnsiTheme="minorEastAsia" w:eastAsiaTheme="minorEastAsia"/>
                <w:color w:val="auto"/>
                <w:kern w:val="2"/>
              </w:rPr>
              <w:t>照明功率密度限值现行值（W/㎡）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教室、医护室、阅览室、会议室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办公室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美术教室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500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实验室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走道</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50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计算机教室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500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准备室、休息室、控制室、音乐器材室、美术器材室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卫生间</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75</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餐厅</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备餐</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厨房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报告厅</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水泵房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高压电房、低压电房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变压器房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发电机房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开关房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200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体育器材室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150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门厅</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更衣室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150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库房</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100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78"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广播室</w:t>
            </w:r>
          </w:p>
        </w:tc>
        <w:tc>
          <w:tcPr>
            <w:tcW w:w="1276"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300</w:t>
            </w:r>
          </w:p>
        </w:tc>
        <w:tc>
          <w:tcPr>
            <w:tcW w:w="3270" w:type="dxa"/>
            <w:vAlign w:val="center"/>
          </w:tcPr>
          <w:p>
            <w:pPr>
              <w:pStyle w:val="23"/>
              <w:spacing w:line="360" w:lineRule="auto"/>
              <w:ind w:left="53" w:firstLine="230" w:firstLineChars="96"/>
              <w:rPr>
                <w:rFonts w:asciiTheme="minorEastAsia" w:hAnsiTheme="minorEastAsia" w:eastAsiaTheme="minorEastAsia"/>
                <w:color w:val="auto"/>
                <w:kern w:val="2"/>
              </w:rPr>
            </w:pPr>
            <w:r>
              <w:rPr>
                <w:rFonts w:hint="eastAsia" w:asciiTheme="minorEastAsia" w:hAnsiTheme="minorEastAsia" w:eastAsiaTheme="minorEastAsia"/>
                <w:color w:val="auto"/>
                <w:kern w:val="2"/>
              </w:rPr>
              <w:t>≤9</w:t>
            </w:r>
          </w:p>
        </w:tc>
      </w:tr>
    </w:tbl>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3.2</w:t>
      </w:r>
      <w:r>
        <w:rPr>
          <w:rFonts w:asciiTheme="minorEastAsia" w:hAnsiTheme="minorEastAsia" w:eastAsiaTheme="minorEastAsia"/>
          <w:color w:val="auto"/>
        </w:rPr>
        <w:t>直管形荧光灯配电子镇流器或节能型电感镇流器</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3.3</w:t>
      </w:r>
      <w:r>
        <w:rPr>
          <w:rFonts w:asciiTheme="minorEastAsia" w:hAnsiTheme="minorEastAsia" w:eastAsiaTheme="minorEastAsia"/>
          <w:color w:val="auto"/>
        </w:rPr>
        <w:t>办公室、会议室</w:t>
      </w:r>
      <w:r>
        <w:rPr>
          <w:rFonts w:hint="eastAsia" w:asciiTheme="minorEastAsia" w:hAnsiTheme="minorEastAsia" w:eastAsiaTheme="minorEastAsia"/>
          <w:color w:val="auto"/>
        </w:rPr>
        <w:t>、教室</w:t>
      </w:r>
      <w:r>
        <w:rPr>
          <w:rFonts w:asciiTheme="minorEastAsia" w:hAnsiTheme="minorEastAsia" w:eastAsiaTheme="minorEastAsia"/>
          <w:color w:val="auto"/>
        </w:rPr>
        <w:t>等高度较低房间采用T5</w:t>
      </w:r>
      <w:r>
        <w:rPr>
          <w:rFonts w:hint="eastAsia" w:asciiTheme="minorEastAsia" w:hAnsiTheme="minorEastAsia" w:eastAsiaTheme="minorEastAsia"/>
          <w:color w:val="auto"/>
        </w:rPr>
        <w:t>、T8</w:t>
      </w:r>
      <w:r>
        <w:rPr>
          <w:rFonts w:asciiTheme="minorEastAsia" w:hAnsiTheme="minorEastAsia" w:eastAsiaTheme="minorEastAsia"/>
          <w:color w:val="auto"/>
        </w:rPr>
        <w:t>型细管径直管形三基色荧光灯。</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3.4  一般场所为荧光灯或节能型LED光源，有装修要求的场所视装修要求商定；所有灯具均要采用高效节能灯具。</w:t>
      </w:r>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五、暖通节能设计</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1、通过对建筑围护结构的节能优化设计，采取有效的强化隔热措施，减少建筑物的围护结构耗能。</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2、 对空调、通风等设备的选型，充分考虑产品的先进性和适用性，选择高效、低噪、节能的优良产品。</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3、分体空调能效比EER均在《房间空气调节器能效限定值及能效等级》GB12021.3-2010中1级以上。</w:t>
      </w:r>
    </w:p>
    <w:p>
      <w:pPr>
        <w:pStyle w:val="23"/>
        <w:spacing w:line="360" w:lineRule="auto"/>
        <w:ind w:left="53" w:firstLine="372" w:firstLineChars="155"/>
        <w:rPr>
          <w:rFonts w:asciiTheme="minorEastAsia" w:hAnsiTheme="minorEastAsia" w:eastAsiaTheme="minorEastAsia"/>
          <w:color w:val="auto"/>
        </w:rPr>
      </w:pPr>
      <w:r>
        <w:rPr>
          <w:rFonts w:hint="eastAsia" w:asciiTheme="minorEastAsia" w:hAnsiTheme="minorEastAsia" w:eastAsiaTheme="minorEastAsia"/>
          <w:color w:val="auto"/>
        </w:rPr>
        <w:t>4、 机械通风风机单位风量耗功率不超过0.27 W/（m³/h）。</w:t>
      </w:r>
    </w:p>
    <w:p>
      <w:pPr>
        <w:spacing w:beforeLines="100" w:afterLines="50" w:line="360" w:lineRule="auto"/>
        <w:rPr>
          <w:rFonts w:asciiTheme="minorEastAsia" w:hAnsiTheme="minorEastAsia" w:eastAsiaTheme="minorEastAsia"/>
          <w:b/>
          <w:sz w:val="24"/>
        </w:rPr>
      </w:pPr>
      <w:r>
        <w:rPr>
          <w:rFonts w:hint="eastAsia" w:asciiTheme="minorEastAsia" w:hAnsiTheme="minorEastAsia" w:eastAsiaTheme="minorEastAsia"/>
          <w:b/>
          <w:sz w:val="24"/>
        </w:rPr>
        <w:t>节能管理建议</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建章立制，建立</w:t>
      </w:r>
      <w:r>
        <w:rPr>
          <w:rFonts w:hint="eastAsia" w:asciiTheme="minorEastAsia" w:hAnsiTheme="minorEastAsia" w:eastAsiaTheme="minorEastAsia"/>
          <w:sz w:val="24"/>
        </w:rPr>
        <w:t>学校</w:t>
      </w:r>
      <w:r>
        <w:rPr>
          <w:rFonts w:asciiTheme="minorEastAsia" w:hAnsiTheme="minorEastAsia" w:eastAsiaTheme="minorEastAsia"/>
          <w:sz w:val="24"/>
        </w:rPr>
        <w:t>节能环保制度体系，</w:t>
      </w:r>
      <w:r>
        <w:rPr>
          <w:rFonts w:hint="eastAsia" w:asciiTheme="minorEastAsia" w:hAnsiTheme="minorEastAsia" w:eastAsiaTheme="minorEastAsia"/>
          <w:sz w:val="24"/>
        </w:rPr>
        <w:t>做好能源消耗统计及管理工作，加强节能管理。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2、定期对能源的使用进行巡视检查，对设备使用和运行中存在的“跑电、冒汽、滴水、漏气”现象及时处理，减少能源浪费。</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3、定期对用电设备的维护保养，检修，以降低电耗，节约用电。加强线路的维护，消除因导线接头不良而造成的发热以及线路漏电现象，节约能源，同时也保证供电安全。</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4、在教职工和学生中开展节能宣传和教育，鼓励节能行为。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7.4  节水</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1、首层至二层采用市政给水管网直接供水。</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2、选用优质管材、所有用水器具及阀门等配件均采用节水型产品，如采用配置</w:t>
      </w:r>
      <w:r>
        <w:rPr>
          <w:rFonts w:asciiTheme="minorEastAsia" w:hAnsiTheme="minorEastAsia" w:eastAsiaTheme="minorEastAsia"/>
          <w:color w:val="auto"/>
        </w:rPr>
        <w:t>4.8</w:t>
      </w:r>
      <w:r>
        <w:rPr>
          <w:rFonts w:hint="eastAsia" w:asciiTheme="minorEastAsia" w:hAnsiTheme="minorEastAsia" w:eastAsiaTheme="minorEastAsia"/>
          <w:color w:val="auto"/>
        </w:rPr>
        <w:t>升、两档式冲洗水箱的坐便器、延时自闭式冲洗阀、陶瓷阀芯给水龙头等。</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3、厨房、餐厅、办公用水等用水点均单独设置水表计量，以便有效管理及监察用水量，避免浪费。</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4、水泵选型尽可能使工况点位于水泵扬程曲线的最高效区段内。</w:t>
      </w:r>
    </w:p>
    <w:p>
      <w:pPr>
        <w:pStyle w:val="23"/>
        <w:spacing w:line="360" w:lineRule="auto"/>
        <w:ind w:left="53" w:firstLine="230" w:firstLineChars="96"/>
        <w:rPr>
          <w:rFonts w:asciiTheme="minorEastAsia" w:hAnsiTheme="minorEastAsia" w:eastAsiaTheme="minorEastAsia"/>
          <w:color w:val="auto"/>
        </w:rPr>
      </w:pPr>
      <w:r>
        <w:rPr>
          <w:rFonts w:hint="eastAsia" w:asciiTheme="minorEastAsia" w:hAnsiTheme="minorEastAsia" w:eastAsiaTheme="minorEastAsia"/>
          <w:color w:val="auto"/>
        </w:rPr>
        <w:t>5、水池、水箱溢流水位均设报警装置，防止进水管阀门故障时，水池、水箱长时间溢流排水。</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6、对大于</w:t>
      </w:r>
      <w:r>
        <w:rPr>
          <w:rFonts w:asciiTheme="minorEastAsia" w:hAnsiTheme="minorEastAsia" w:eastAsiaTheme="minorEastAsia"/>
          <w:sz w:val="24"/>
        </w:rPr>
        <w:t>0.20Mpa</w:t>
      </w:r>
      <w:r>
        <w:rPr>
          <w:rFonts w:hint="eastAsia" w:asciiTheme="minorEastAsia" w:hAnsiTheme="minorEastAsia" w:eastAsiaTheme="minorEastAsia"/>
          <w:sz w:val="24"/>
        </w:rPr>
        <w:t>的给水支管设减压阀减压。</w:t>
      </w:r>
    </w:p>
    <w:p>
      <w:pPr>
        <w:pStyle w:val="2"/>
        <w:keepNext w:val="0"/>
        <w:keepLines w:val="0"/>
        <w:autoSpaceDE w:val="0"/>
        <w:autoSpaceDN w:val="0"/>
        <w:adjustRightInd w:val="0"/>
        <w:spacing w:before="360" w:after="360" w:line="240" w:lineRule="atLeast"/>
        <w:jc w:val="center"/>
        <w:rPr>
          <w:rFonts w:ascii="宋体" w:hAnsi="宋体"/>
          <w:bCs w:val="0"/>
          <w:color w:val="000000" w:themeColor="text1"/>
          <w:kern w:val="2"/>
          <w:sz w:val="36"/>
        </w:rPr>
      </w:pPr>
      <w:bookmarkStart w:id="70" w:name="_Toc515980408"/>
      <w:bookmarkStart w:id="71" w:name="_Toc490932237"/>
      <w:r>
        <w:rPr>
          <w:rFonts w:hint="eastAsia" w:ascii="宋体" w:hAnsi="宋体"/>
          <w:bCs w:val="0"/>
          <w:color w:val="000000" w:themeColor="text1"/>
          <w:kern w:val="2"/>
          <w:sz w:val="36"/>
        </w:rPr>
        <w:t>第八章  绿色建筑</w:t>
      </w:r>
      <w:bookmarkEnd w:id="70"/>
      <w:bookmarkEnd w:id="71"/>
    </w:p>
    <w:p>
      <w:pPr>
        <w:pStyle w:val="3"/>
        <w:rPr>
          <w:color w:val="000000" w:themeColor="text1"/>
        </w:rPr>
      </w:pPr>
      <w:bookmarkStart w:id="72" w:name="_Toc515980409"/>
      <w:bookmarkStart w:id="73" w:name="_Toc490932238"/>
      <w:r>
        <w:rPr>
          <w:rFonts w:hint="eastAsia"/>
          <w:color w:val="000000" w:themeColor="text1"/>
        </w:rPr>
        <w:t>8</w:t>
      </w:r>
      <w:r>
        <w:rPr>
          <w:color w:val="000000" w:themeColor="text1"/>
        </w:rPr>
        <w:t xml:space="preserve">.1  </w:t>
      </w:r>
      <w:r>
        <w:rPr>
          <w:rFonts w:hint="eastAsia"/>
          <w:color w:val="000000" w:themeColor="text1"/>
          <w:szCs w:val="28"/>
        </w:rPr>
        <w:t>标准依据</w:t>
      </w:r>
      <w:bookmarkEnd w:id="72"/>
      <w:bookmarkEnd w:id="73"/>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本项目应遵循的绿色建筑设计规范主要有以下：</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1）《夏热冬暖地区居住建筑节能设计标准》</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2）《采暖通风与空气调节设计规范》</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3）《通风与空调工程施工质量验收规范》</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4）《民用建筑太阳能热水系统应用技术规范》</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5）《建筑照明设计标准》</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6）《建筑采光设计标准》</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7）《公共建筑节能设计标准广东省实施细则》 </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 xml:space="preserve">8）《绿色建筑评价标准》 </w:t>
      </w:r>
    </w:p>
    <w:p>
      <w:pPr>
        <w:spacing w:line="360" w:lineRule="auto"/>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9)</w:t>
      </w:r>
      <w:r>
        <w:rPr>
          <w:rFonts w:hint="eastAsia" w:asciiTheme="minorEastAsia" w:hAnsiTheme="minorEastAsia" w:eastAsiaTheme="minorEastAsia"/>
          <w:color w:val="000000" w:themeColor="text1"/>
          <w:sz w:val="24"/>
          <w:lang w:val="en-US" w:eastAsia="zh-CN"/>
        </w:rPr>
        <w:t xml:space="preserve"> </w:t>
      </w:r>
      <w:r>
        <w:rPr>
          <w:rFonts w:hint="eastAsia" w:asciiTheme="minorEastAsia" w:hAnsiTheme="minorEastAsia" w:eastAsiaTheme="minorEastAsia"/>
          <w:color w:val="000000" w:themeColor="text1"/>
          <w:sz w:val="24"/>
        </w:rPr>
        <w:t>《广东省绿色建筑评价标准》</w:t>
      </w:r>
    </w:p>
    <w:p>
      <w:pPr>
        <w:pStyle w:val="3"/>
        <w:rPr>
          <w:color w:val="000000" w:themeColor="text1"/>
        </w:rPr>
      </w:pPr>
      <w:bookmarkStart w:id="74" w:name="_Toc490932239"/>
      <w:bookmarkStart w:id="75" w:name="_Toc515980410"/>
      <w:r>
        <w:rPr>
          <w:rFonts w:hint="eastAsia"/>
          <w:color w:val="000000" w:themeColor="text1"/>
        </w:rPr>
        <w:t>8</w:t>
      </w:r>
      <w:r>
        <w:rPr>
          <w:color w:val="000000" w:themeColor="text1"/>
        </w:rPr>
        <w:t>.</w:t>
      </w:r>
      <w:r>
        <w:rPr>
          <w:rFonts w:hint="eastAsia"/>
          <w:color w:val="000000" w:themeColor="text1"/>
        </w:rPr>
        <w:t>2绿色建筑目标</w:t>
      </w:r>
      <w:bookmarkEnd w:id="74"/>
      <w:bookmarkEnd w:id="75"/>
    </w:p>
    <w:p>
      <w:pPr>
        <w:spacing w:line="360" w:lineRule="auto"/>
        <w:ind w:firstLine="573"/>
        <w:rPr>
          <w:rFonts w:ascii="宋体" w:hAnsi="宋体"/>
          <w:color w:val="000000" w:themeColor="text1"/>
          <w:sz w:val="24"/>
        </w:rPr>
      </w:pPr>
      <w:r>
        <w:rPr>
          <w:rFonts w:hint="eastAsia" w:ascii="宋体" w:hAnsi="宋体"/>
          <w:color w:val="000000" w:themeColor="text1"/>
          <w:sz w:val="24"/>
        </w:rPr>
        <w:t>为落实《绿色建筑行动方案》（国办发〔2013〕1号）、《广东省绿色建筑行动实施方案》（粤府办〔2013〕49号）、《关于加快推进珠海市绿色建筑发展的通知》（珠规建质〔2013〕40号）、《关于新建民用建筑全面实施绿色建筑标准的通知》（珠规建质〔2015〕151号），本项目拟按二星级绿色建筑标准设计。</w:t>
      </w:r>
    </w:p>
    <w:p>
      <w:pPr>
        <w:spacing w:line="360" w:lineRule="auto"/>
        <w:ind w:firstLine="573"/>
        <w:rPr>
          <w:rFonts w:ascii="宋体" w:hAnsi="宋体"/>
          <w:color w:val="000000" w:themeColor="text1"/>
          <w:sz w:val="24"/>
        </w:rPr>
      </w:pPr>
      <w:r>
        <w:rPr>
          <w:rFonts w:hint="eastAsia" w:ascii="宋体" w:hAnsi="宋体"/>
          <w:color w:val="000000" w:themeColor="text1"/>
          <w:sz w:val="24"/>
        </w:rPr>
        <w:t>根据2014 年7 月1 日施行的《珠海市绿色建筑技术导则》：“2015年起对政府投资的新建（改建、扩建）建筑项目、城市更新改造项目、单体建筑面积在1 万平方米以上公共建筑或整体10 万平方米住宅小区以及横琴新区、西部中心城区、唐家湾新城、万山群岛、平沙-海泉湾旅游休闲区等区域的5000 平方米以上新建房屋建筑等建设项目全面执行绿色建筑标准”。</w:t>
      </w:r>
      <w:r>
        <w:rPr>
          <w:rFonts w:hint="eastAsia" w:ascii="宋体" w:hAnsi="宋体"/>
          <w:color w:val="auto"/>
          <w:sz w:val="24"/>
        </w:rPr>
        <w:t>本项目属于公共工程，且其中教学楼面积已超过1万㎡，所以必须达到绿色建筑标准二星级，</w:t>
      </w:r>
      <w:r>
        <w:rPr>
          <w:rFonts w:hint="eastAsia" w:ascii="宋体" w:hAnsi="宋体"/>
          <w:color w:val="000000" w:themeColor="text1"/>
          <w:sz w:val="24"/>
        </w:rPr>
        <w:t>根据（珠规建质[2014]153）文；“鼓励大公共建筑和标志性建筑按绿色建筑评价标识国家二星级及以上的标准进行设计”的要求，在条件允许的情况下，本项目绿色建筑目标建议达到国家绿色建筑二星标准。</w:t>
      </w:r>
    </w:p>
    <w:p>
      <w:pPr>
        <w:pStyle w:val="3"/>
        <w:rPr>
          <w:color w:val="000000" w:themeColor="text1"/>
        </w:rPr>
      </w:pPr>
      <w:bookmarkStart w:id="76" w:name="_Toc515980411"/>
      <w:bookmarkStart w:id="77" w:name="_Toc490932240"/>
      <w:r>
        <w:rPr>
          <w:rFonts w:hint="eastAsia"/>
          <w:color w:val="000000" w:themeColor="text1"/>
        </w:rPr>
        <w:t>8</w:t>
      </w:r>
      <w:r>
        <w:rPr>
          <w:color w:val="000000" w:themeColor="text1"/>
        </w:rPr>
        <w:t>.</w:t>
      </w:r>
      <w:r>
        <w:rPr>
          <w:rFonts w:hint="eastAsia"/>
          <w:color w:val="000000" w:themeColor="text1"/>
        </w:rPr>
        <w:t>3绿色建筑措施</w:t>
      </w:r>
      <w:bookmarkEnd w:id="76"/>
      <w:bookmarkEnd w:id="77"/>
    </w:p>
    <w:p>
      <w:pPr>
        <w:spacing w:line="360" w:lineRule="auto"/>
        <w:ind w:firstLine="573"/>
        <w:rPr>
          <w:rFonts w:ascii="宋体" w:hAnsi="宋体"/>
          <w:color w:val="000000" w:themeColor="text1"/>
          <w:sz w:val="24"/>
        </w:rPr>
      </w:pPr>
      <w:r>
        <w:rPr>
          <w:rFonts w:hint="eastAsia" w:ascii="宋体" w:hAnsi="宋体"/>
          <w:color w:val="000000" w:themeColor="text1"/>
          <w:sz w:val="24"/>
        </w:rPr>
        <w:t>绿色建筑是指在建筑的全寿命周期内，最大限度地保护环境、节约资源（节能、节水、节地、节材）和减少污染，为人们提供健康、适用和高效的使用空间，最终实现与自然共生的建筑物。简而言之，所谓绿色建筑，有三个要素，一是保护环境少受污染；二是节约资源；三是提供一个人性化的空间。</w:t>
      </w:r>
    </w:p>
    <w:p>
      <w:pPr>
        <w:spacing w:line="360" w:lineRule="auto"/>
        <w:ind w:firstLine="573"/>
        <w:rPr>
          <w:rFonts w:ascii="宋体" w:hAnsi="宋体"/>
          <w:color w:val="000000" w:themeColor="text1"/>
          <w:sz w:val="24"/>
        </w:rPr>
      </w:pPr>
      <w:r>
        <w:rPr>
          <w:rFonts w:hint="eastAsia" w:ascii="宋体" w:hAnsi="宋体"/>
          <w:color w:val="000000" w:themeColor="text1"/>
          <w:sz w:val="24"/>
        </w:rPr>
        <w:t>绿色建筑遵循可持续发展原则，体现绿色平衡理念，通过科学的整体设计，旨在为建筑使用者提供健康、舒适的工作、学习、活动空间，同时最高效率地利用能源、最低限度地影响环境。</w:t>
      </w:r>
    </w:p>
    <w:p>
      <w:pPr>
        <w:spacing w:line="360" w:lineRule="auto"/>
        <w:ind w:firstLine="573"/>
        <w:rPr>
          <w:rFonts w:ascii="宋体" w:hAnsi="宋体"/>
          <w:color w:val="000000" w:themeColor="text1"/>
          <w:sz w:val="24"/>
        </w:rPr>
      </w:pPr>
      <w:r>
        <w:rPr>
          <w:rFonts w:hint="eastAsia" w:ascii="宋体" w:hAnsi="宋体"/>
          <w:color w:val="000000" w:themeColor="text1"/>
          <w:sz w:val="24"/>
        </w:rPr>
        <w:t>绿色建筑还必须充分展示人文与建筑、环境及科技的和谐统一。因此，</w:t>
      </w:r>
      <w:r>
        <w:rPr>
          <w:rFonts w:hint="eastAsia" w:ascii="宋体" w:hAnsi="宋体"/>
          <w:sz w:val="24"/>
          <w:szCs w:val="28"/>
        </w:rPr>
        <w:t>珠海</w:t>
      </w:r>
      <w:r>
        <w:rPr>
          <w:rFonts w:hint="eastAsia" w:ascii="宋体" w:hAnsi="宋体"/>
          <w:color w:val="000000" w:themeColor="text1"/>
          <w:sz w:val="24"/>
        </w:rPr>
        <w:t>汇华实验学校的设计应以绿色、节能、自然和科技为原则。在设计过程中充分融入绿色建筑理念，即充分与自然环境结合，使大楼内的人员接触自然，注重室外与室内环境的设计，考虑建筑节能与材料的应用，可采用内外遮阳、诱导式通风等技术，同时结合</w:t>
      </w:r>
      <w:r>
        <w:rPr>
          <w:rFonts w:hint="eastAsia" w:ascii="宋体" w:hAnsi="宋体"/>
          <w:sz w:val="24"/>
          <w:szCs w:val="28"/>
        </w:rPr>
        <w:t>珠海</w:t>
      </w:r>
      <w:r>
        <w:rPr>
          <w:rFonts w:hint="eastAsia" w:ascii="宋体" w:hAnsi="宋体"/>
          <w:color w:val="000000" w:themeColor="text1"/>
          <w:sz w:val="24"/>
        </w:rPr>
        <w:t>汇华实验学校良好的自然条件进行了多方位和适宜的节能技术措施。</w:t>
      </w:r>
    </w:p>
    <w:p>
      <w:pPr>
        <w:spacing w:line="360" w:lineRule="auto"/>
        <w:ind w:firstLine="573"/>
        <w:rPr>
          <w:rFonts w:ascii="宋体" w:hAnsi="宋体"/>
          <w:color w:val="000000" w:themeColor="text1"/>
          <w:sz w:val="24"/>
        </w:rPr>
      </w:pPr>
      <w:r>
        <w:rPr>
          <w:rFonts w:hint="eastAsia" w:ascii="宋体" w:hAnsi="宋体"/>
          <w:color w:val="000000" w:themeColor="text1"/>
          <w:sz w:val="24"/>
        </w:rPr>
        <w:t>1、建筑场地的选址与规划</w:t>
      </w:r>
    </w:p>
    <w:p>
      <w:pPr>
        <w:spacing w:line="360" w:lineRule="auto"/>
        <w:ind w:firstLine="573"/>
        <w:rPr>
          <w:rFonts w:ascii="宋体" w:hAnsi="宋体"/>
          <w:color w:val="000000" w:themeColor="text1"/>
          <w:sz w:val="24"/>
        </w:rPr>
      </w:pPr>
      <w:r>
        <w:rPr>
          <w:rFonts w:hint="eastAsia" w:ascii="宋体" w:hAnsi="宋体"/>
          <w:color w:val="000000" w:themeColor="text1"/>
          <w:sz w:val="24"/>
        </w:rPr>
        <w:t>场地的选择应考虑两方面：一是考虑自然环境；二是减少建设用地对周围环境的影响。项目选址不破坏当地文物、自然水系、湿地、基本农田、森林和其它保护区，不在珠海市基本生态控制区和水源保护区内。</w:t>
      </w:r>
    </w:p>
    <w:p>
      <w:pPr>
        <w:spacing w:line="360" w:lineRule="auto"/>
        <w:ind w:firstLine="573"/>
        <w:rPr>
          <w:rFonts w:ascii="宋体" w:hAnsi="宋体"/>
          <w:color w:val="000000" w:themeColor="text1"/>
          <w:sz w:val="24"/>
        </w:rPr>
      </w:pPr>
      <w:r>
        <w:rPr>
          <w:rFonts w:hint="eastAsia" w:ascii="宋体" w:hAnsi="宋体"/>
          <w:color w:val="000000" w:themeColor="text1"/>
          <w:sz w:val="24"/>
        </w:rPr>
        <w:t xml:space="preserve">建筑场地选址无洪灾、泥石流及含氡土壤的威胁。建筑场地安全范围内无电磁辐射危害和火、爆、有毒物质等危险源。 </w:t>
      </w:r>
    </w:p>
    <w:p>
      <w:pPr>
        <w:spacing w:line="360" w:lineRule="auto"/>
        <w:ind w:firstLine="573"/>
        <w:rPr>
          <w:rFonts w:ascii="宋体" w:hAnsi="宋体"/>
          <w:color w:val="000000" w:themeColor="text1"/>
          <w:sz w:val="24"/>
        </w:rPr>
      </w:pPr>
      <w:r>
        <w:rPr>
          <w:rFonts w:hint="eastAsia" w:ascii="宋体" w:hAnsi="宋体"/>
          <w:color w:val="000000" w:themeColor="text1"/>
          <w:sz w:val="24"/>
        </w:rPr>
        <w:t>2、总体建筑布局</w:t>
      </w:r>
    </w:p>
    <w:p>
      <w:pPr>
        <w:spacing w:line="360" w:lineRule="auto"/>
        <w:ind w:firstLine="573"/>
        <w:rPr>
          <w:rFonts w:ascii="宋体" w:hAnsi="宋体"/>
          <w:color w:val="000000" w:themeColor="text1"/>
          <w:sz w:val="24"/>
        </w:rPr>
      </w:pPr>
      <w:r>
        <w:rPr>
          <w:rFonts w:hint="eastAsia" w:ascii="宋体" w:hAnsi="宋体"/>
          <w:color w:val="000000" w:themeColor="text1"/>
          <w:sz w:val="24"/>
        </w:rPr>
        <w:t>建筑的总体布局决定了建筑的朝向，并与基地的通风和热环境状况密切相关。因此，适应气候的总体布局是建筑节能的起点。</w:t>
      </w:r>
    </w:p>
    <w:p>
      <w:pPr>
        <w:spacing w:line="360" w:lineRule="auto"/>
        <w:ind w:firstLine="573"/>
        <w:rPr>
          <w:rFonts w:ascii="宋体" w:hAnsi="宋体"/>
          <w:color w:val="000000" w:themeColor="text1"/>
          <w:sz w:val="24"/>
        </w:rPr>
      </w:pPr>
      <w:r>
        <w:rPr>
          <w:rFonts w:hint="eastAsia" w:ascii="宋体" w:hAnsi="宋体"/>
          <w:color w:val="000000" w:themeColor="text1"/>
          <w:sz w:val="24"/>
        </w:rPr>
        <w:t>3、疏导基地和建筑群体通风</w:t>
      </w:r>
    </w:p>
    <w:p>
      <w:pPr>
        <w:spacing w:line="360" w:lineRule="auto"/>
        <w:ind w:firstLine="573"/>
        <w:rPr>
          <w:rFonts w:ascii="宋体" w:hAnsi="宋体"/>
          <w:color w:val="000000" w:themeColor="text1"/>
          <w:sz w:val="24"/>
        </w:rPr>
      </w:pPr>
      <w:r>
        <w:rPr>
          <w:rFonts w:hint="eastAsia" w:ascii="宋体" w:hAnsi="宋体"/>
          <w:color w:val="000000" w:themeColor="text1"/>
          <w:sz w:val="24"/>
        </w:rPr>
        <w:t>在规划设计中，合理、高效地利用自然通风是节能设计的一个重要手段，珠海市的夏季主导风向为东南与西北走向，为减少夏季空调运行时间和保证不使用空调季节室内的热舒适性，在群体空间布局上采用前后错列、斜列、前疏后密等方式以疏导气流。</w:t>
      </w:r>
      <w:r>
        <w:rPr>
          <w:rFonts w:ascii="宋体" w:hAnsi="宋体"/>
          <w:color w:val="000000" w:themeColor="text1"/>
          <w:sz w:val="24"/>
        </w:rPr>
        <w:t xml:space="preserve"> </w:t>
      </w:r>
    </w:p>
    <w:p>
      <w:pPr>
        <w:spacing w:line="360" w:lineRule="auto"/>
        <w:ind w:firstLine="573"/>
        <w:rPr>
          <w:rFonts w:ascii="宋体" w:hAnsi="宋体"/>
          <w:color w:val="000000" w:themeColor="text1"/>
          <w:sz w:val="24"/>
        </w:rPr>
      </w:pPr>
      <w:r>
        <w:rPr>
          <w:rFonts w:hint="eastAsia" w:ascii="宋体" w:hAnsi="宋体"/>
          <w:color w:val="000000" w:themeColor="text1"/>
          <w:sz w:val="24"/>
        </w:rPr>
        <w:t>4、选择夏季热辐射强度较低的朝向</w:t>
      </w:r>
    </w:p>
    <w:p>
      <w:pPr>
        <w:spacing w:line="360" w:lineRule="auto"/>
        <w:ind w:firstLine="573"/>
        <w:rPr>
          <w:rFonts w:ascii="宋体" w:hAnsi="宋体"/>
          <w:color w:val="000000" w:themeColor="text1"/>
          <w:sz w:val="24"/>
        </w:rPr>
      </w:pPr>
      <w:r>
        <w:rPr>
          <w:rFonts w:hint="eastAsia" w:ascii="宋体" w:hAnsi="宋体"/>
          <w:color w:val="000000" w:themeColor="text1"/>
          <w:sz w:val="24"/>
        </w:rPr>
        <w:t>太阳辐射热对建筑能耗影响很大，根据太阳高度角方位角的变化规律，建筑南向夏季可减少太阳辐射得热，冬季可增加太阳辐射得热，是最有利的建筑朝向。</w:t>
      </w:r>
    </w:p>
    <w:p>
      <w:pPr>
        <w:spacing w:line="360" w:lineRule="auto"/>
        <w:ind w:firstLine="573"/>
        <w:rPr>
          <w:rFonts w:ascii="宋体" w:hAnsi="宋体"/>
          <w:color w:val="000000" w:themeColor="text1"/>
          <w:sz w:val="24"/>
        </w:rPr>
      </w:pPr>
      <w:r>
        <w:rPr>
          <w:rFonts w:hint="eastAsia" w:ascii="宋体" w:hAnsi="宋体"/>
          <w:color w:val="000000" w:themeColor="text1"/>
          <w:sz w:val="24"/>
        </w:rPr>
        <w:t>5、创造节能环境</w:t>
      </w:r>
    </w:p>
    <w:p>
      <w:pPr>
        <w:spacing w:line="360" w:lineRule="auto"/>
        <w:ind w:firstLine="573"/>
        <w:rPr>
          <w:rFonts w:ascii="宋体" w:hAnsi="宋体"/>
          <w:color w:val="000000" w:themeColor="text1"/>
          <w:sz w:val="24"/>
        </w:rPr>
      </w:pPr>
      <w:r>
        <w:rPr>
          <w:rFonts w:hint="eastAsia" w:ascii="宋体" w:hAnsi="宋体"/>
          <w:color w:val="000000" w:themeColor="text1"/>
          <w:sz w:val="24"/>
        </w:rPr>
        <w:t>当前，环境设计已成为公共建筑规划设计中重要的一环，创造对节能有利的微气候条件对建筑节能也非常重要。具体措施有：</w:t>
      </w:r>
    </w:p>
    <w:p>
      <w:pPr>
        <w:spacing w:line="360" w:lineRule="auto"/>
        <w:ind w:firstLine="573"/>
        <w:rPr>
          <w:rFonts w:ascii="宋体" w:hAnsi="宋体"/>
          <w:color w:val="000000" w:themeColor="text1"/>
          <w:sz w:val="24"/>
        </w:rPr>
      </w:pPr>
      <w:r>
        <w:rPr>
          <w:rFonts w:hint="eastAsia" w:ascii="宋体" w:hAnsi="宋体"/>
          <w:color w:val="000000" w:themeColor="text1"/>
          <w:sz w:val="24"/>
        </w:rPr>
        <w:t>①增加绿化种植面积，考虑地面绿化、屋顶绿化和地面垂直绿化的整体结合，有效调节环境温度。植被的种植不会阻碍冬季热量的吸取，同时又能够提供夏季必要的遮阳。</w:t>
      </w:r>
    </w:p>
    <w:p>
      <w:pPr>
        <w:spacing w:line="360" w:lineRule="auto"/>
        <w:ind w:firstLine="573"/>
        <w:rPr>
          <w:rFonts w:ascii="宋体" w:hAnsi="宋体"/>
          <w:color w:val="000000" w:themeColor="text1"/>
          <w:sz w:val="24"/>
        </w:rPr>
      </w:pPr>
      <w:r>
        <w:rPr>
          <w:rFonts w:hint="eastAsia" w:ascii="宋体" w:hAnsi="宋体"/>
          <w:color w:val="000000" w:themeColor="text1"/>
          <w:sz w:val="24"/>
        </w:rPr>
        <w:t>②减少硬质铺地，采用生态铺地设计，使场地具有可呼吸的特性。</w:t>
      </w:r>
    </w:p>
    <w:p>
      <w:pPr>
        <w:spacing w:line="360" w:lineRule="auto"/>
        <w:ind w:firstLine="573"/>
        <w:rPr>
          <w:rFonts w:ascii="宋体" w:hAnsi="宋体"/>
          <w:color w:val="000000" w:themeColor="text1"/>
          <w:sz w:val="24"/>
        </w:rPr>
      </w:pPr>
      <w:r>
        <w:rPr>
          <w:rFonts w:hint="eastAsia" w:ascii="宋体" w:hAnsi="宋体"/>
          <w:color w:val="000000" w:themeColor="text1"/>
          <w:sz w:val="24"/>
        </w:rPr>
        <w:t>③采用高大落叶乔木，遮挡阳光辐射，疏导通风。</w:t>
      </w:r>
    </w:p>
    <w:p>
      <w:pPr>
        <w:spacing w:line="360" w:lineRule="auto"/>
        <w:ind w:firstLine="573"/>
        <w:rPr>
          <w:rFonts w:ascii="宋体" w:hAnsi="宋体"/>
          <w:color w:val="000000" w:themeColor="text1"/>
          <w:sz w:val="24"/>
        </w:rPr>
      </w:pPr>
      <w:r>
        <w:rPr>
          <w:rFonts w:hint="eastAsia" w:ascii="宋体" w:hAnsi="宋体"/>
          <w:color w:val="000000" w:themeColor="text1"/>
          <w:sz w:val="24"/>
        </w:rPr>
        <w:t>6、单体设计</w:t>
      </w:r>
    </w:p>
    <w:p>
      <w:pPr>
        <w:spacing w:line="360" w:lineRule="auto"/>
        <w:ind w:firstLine="573"/>
        <w:rPr>
          <w:rFonts w:ascii="宋体" w:hAnsi="宋体"/>
          <w:color w:val="000000" w:themeColor="text1"/>
          <w:sz w:val="24"/>
        </w:rPr>
      </w:pPr>
      <w:r>
        <w:rPr>
          <w:rFonts w:hint="eastAsia" w:ascii="宋体" w:hAnsi="宋体"/>
          <w:color w:val="000000" w:themeColor="text1"/>
          <w:sz w:val="24"/>
        </w:rPr>
        <w:t>①非空调期技术</w:t>
      </w:r>
    </w:p>
    <w:p>
      <w:pPr>
        <w:spacing w:line="360" w:lineRule="auto"/>
        <w:ind w:firstLine="573"/>
        <w:rPr>
          <w:rFonts w:ascii="宋体" w:hAnsi="宋体"/>
          <w:color w:val="000000" w:themeColor="text1"/>
          <w:sz w:val="24"/>
        </w:rPr>
      </w:pPr>
      <w:r>
        <w:rPr>
          <w:rFonts w:hint="eastAsia" w:ascii="宋体" w:hAnsi="宋体"/>
          <w:color w:val="000000" w:themeColor="text1"/>
          <w:sz w:val="24"/>
        </w:rPr>
        <w:t>建筑主要用房采用南北通透户型，并保持适度进深。通过对建筑物一定的凹凸引导自然通风，争取更多的开启通风面。</w:t>
      </w:r>
    </w:p>
    <w:p>
      <w:pPr>
        <w:spacing w:line="360" w:lineRule="auto"/>
        <w:ind w:firstLine="573"/>
        <w:rPr>
          <w:rFonts w:ascii="宋体" w:hAnsi="宋体"/>
          <w:color w:val="000000" w:themeColor="text1"/>
          <w:sz w:val="24"/>
        </w:rPr>
      </w:pPr>
      <w:r>
        <w:rPr>
          <w:rFonts w:hint="eastAsia" w:ascii="宋体" w:hAnsi="宋体"/>
          <w:color w:val="000000" w:themeColor="text1"/>
          <w:sz w:val="24"/>
        </w:rPr>
        <w:t>作为建筑平面在实际选择时是多变的，所考虑的制约因素来自众多的方面，以室外风流对建筑平面的影响而言，通过对典型平面的讨论，在珠海市，建筑物所处气候区以夏季防热为主要目标时，宜采取将建筑复杂平面内的最长线（一般为对角线）对夏季主导风向相垂直布局，以争取建筑尽量大的吸风面。</w:t>
      </w:r>
    </w:p>
    <w:p>
      <w:pPr>
        <w:spacing w:line="360" w:lineRule="auto"/>
        <w:ind w:firstLine="573"/>
        <w:rPr>
          <w:rFonts w:ascii="宋体" w:hAnsi="宋体"/>
          <w:color w:val="000000" w:themeColor="text1"/>
          <w:sz w:val="24"/>
        </w:rPr>
      </w:pPr>
      <w:r>
        <w:rPr>
          <w:rFonts w:hint="eastAsia" w:ascii="宋体" w:hAnsi="宋体"/>
          <w:color w:val="000000" w:themeColor="text1"/>
          <w:sz w:val="24"/>
        </w:rPr>
        <w:t>南北向房间门窗相互对应，避免气流转折，保证水平通风和散热。</w:t>
      </w:r>
    </w:p>
    <w:p>
      <w:pPr>
        <w:spacing w:line="360" w:lineRule="auto"/>
        <w:ind w:firstLine="573"/>
        <w:rPr>
          <w:rFonts w:ascii="宋体" w:hAnsi="宋体"/>
          <w:color w:val="000000" w:themeColor="text1"/>
          <w:sz w:val="24"/>
        </w:rPr>
      </w:pPr>
      <w:r>
        <w:rPr>
          <w:rFonts w:hint="eastAsia" w:ascii="宋体" w:hAnsi="宋体"/>
          <w:color w:val="000000" w:themeColor="text1"/>
          <w:sz w:val="24"/>
        </w:rPr>
        <w:t>②空调期技术</w:t>
      </w:r>
    </w:p>
    <w:p>
      <w:pPr>
        <w:spacing w:line="360" w:lineRule="auto"/>
        <w:ind w:firstLine="573"/>
        <w:rPr>
          <w:rFonts w:ascii="宋体" w:hAnsi="宋体"/>
          <w:color w:val="000000" w:themeColor="text1"/>
          <w:sz w:val="24"/>
        </w:rPr>
      </w:pPr>
      <w:r>
        <w:rPr>
          <w:rFonts w:hint="eastAsia" w:ascii="宋体" w:hAnsi="宋体"/>
          <w:color w:val="000000" w:themeColor="text1"/>
          <w:sz w:val="24"/>
        </w:rPr>
        <w:t xml:space="preserve">当建筑外窗玻璃的夏季太阳辐射透过率小于或等于0.3时可不采用外窗遮阳，低辐射玻璃的太阳辐射透过率可以低到0.3，这时可不需要再设窗户外遮阳。 </w:t>
      </w:r>
    </w:p>
    <w:p>
      <w:pPr>
        <w:spacing w:line="360" w:lineRule="auto"/>
        <w:ind w:firstLine="573"/>
        <w:rPr>
          <w:rFonts w:ascii="宋体" w:hAnsi="宋体"/>
          <w:color w:val="000000" w:themeColor="text1"/>
          <w:sz w:val="24"/>
        </w:rPr>
      </w:pPr>
      <w:r>
        <w:rPr>
          <w:rFonts w:hint="eastAsia" w:ascii="宋体" w:hAnsi="宋体"/>
          <w:color w:val="000000" w:themeColor="text1"/>
          <w:sz w:val="24"/>
        </w:rPr>
        <w:t>7、建筑节能技术的使用</w:t>
      </w:r>
    </w:p>
    <w:p>
      <w:pPr>
        <w:spacing w:line="360" w:lineRule="auto"/>
        <w:ind w:firstLine="573"/>
        <w:rPr>
          <w:rFonts w:ascii="宋体" w:hAnsi="宋体"/>
          <w:color w:val="000000" w:themeColor="text1"/>
          <w:sz w:val="24"/>
        </w:rPr>
      </w:pPr>
      <w:r>
        <w:rPr>
          <w:rFonts w:hint="eastAsia" w:ascii="宋体" w:hAnsi="宋体"/>
          <w:color w:val="000000" w:themeColor="text1"/>
          <w:sz w:val="24"/>
        </w:rPr>
        <w:t>①外墙保温技术</w:t>
      </w:r>
    </w:p>
    <w:p>
      <w:pPr>
        <w:spacing w:line="360" w:lineRule="auto"/>
        <w:ind w:firstLine="573"/>
        <w:rPr>
          <w:rFonts w:ascii="宋体" w:hAnsi="宋体"/>
          <w:color w:val="000000" w:themeColor="text1"/>
          <w:sz w:val="24"/>
        </w:rPr>
      </w:pPr>
      <w:r>
        <w:rPr>
          <w:rFonts w:hint="eastAsia" w:ascii="宋体" w:hAnsi="宋体"/>
          <w:color w:val="000000" w:themeColor="text1"/>
          <w:sz w:val="24"/>
        </w:rPr>
        <w:t>采用外墙外保温技术，选用聚苯颗粒保温材料作为外墙柱材料，美观耐洁，经济实惠；外墙材料与设计满足最小热阻要求。 </w:t>
      </w:r>
    </w:p>
    <w:p>
      <w:pPr>
        <w:spacing w:line="360" w:lineRule="auto"/>
        <w:ind w:firstLine="573"/>
        <w:rPr>
          <w:rFonts w:ascii="宋体" w:hAnsi="宋体"/>
          <w:color w:val="000000" w:themeColor="text1"/>
          <w:sz w:val="24"/>
        </w:rPr>
      </w:pPr>
      <w:r>
        <w:rPr>
          <w:rFonts w:hint="eastAsia" w:ascii="宋体" w:hAnsi="宋体"/>
          <w:color w:val="000000" w:themeColor="text1"/>
          <w:sz w:val="24"/>
        </w:rPr>
        <w:t>②屋面节能技术</w:t>
      </w:r>
    </w:p>
    <w:p>
      <w:pPr>
        <w:spacing w:line="360" w:lineRule="auto"/>
        <w:ind w:firstLine="573"/>
        <w:rPr>
          <w:rFonts w:ascii="宋体" w:hAnsi="宋体"/>
          <w:color w:val="000000" w:themeColor="text1"/>
          <w:sz w:val="24"/>
        </w:rPr>
      </w:pPr>
      <w:r>
        <w:rPr>
          <w:rFonts w:hint="eastAsia" w:ascii="宋体" w:hAnsi="宋体"/>
          <w:color w:val="000000" w:themeColor="text1"/>
          <w:sz w:val="24"/>
        </w:rPr>
        <w:t>改善屋顶的节能效果，可以采用聚苯乙烯泡沫塑料等材料做屋顶保温层，降低屋面K值，改善室内的温湿状况，造价不会成比例增加，是经济合理的节能手段。 </w:t>
      </w:r>
    </w:p>
    <w:p>
      <w:pPr>
        <w:spacing w:line="360" w:lineRule="auto"/>
        <w:ind w:firstLine="573"/>
        <w:rPr>
          <w:rFonts w:ascii="宋体" w:hAnsi="宋体"/>
          <w:color w:val="000000" w:themeColor="text1"/>
          <w:sz w:val="24"/>
        </w:rPr>
      </w:pPr>
      <w:r>
        <w:rPr>
          <w:rFonts w:hint="eastAsia" w:ascii="宋体" w:hAnsi="宋体"/>
          <w:color w:val="000000" w:themeColor="text1"/>
          <w:sz w:val="24"/>
        </w:rPr>
        <w:t>③外门窗节能技术</w:t>
      </w:r>
    </w:p>
    <w:p>
      <w:pPr>
        <w:spacing w:line="360" w:lineRule="auto"/>
        <w:ind w:firstLine="573"/>
        <w:rPr>
          <w:rFonts w:ascii="宋体" w:hAnsi="宋体"/>
          <w:color w:val="000000" w:themeColor="text1"/>
          <w:sz w:val="24"/>
        </w:rPr>
      </w:pPr>
      <w:r>
        <w:rPr>
          <w:rFonts w:hint="eastAsia" w:ascii="宋体" w:hAnsi="宋体"/>
          <w:color w:val="000000" w:themeColor="text1"/>
          <w:sz w:val="24"/>
        </w:rPr>
        <w:t xml:space="preserve">门窗是建筑表皮的重要组成部分，是通风气流的出入口、建筑的采光口。也是表皮中能耗最大的部分。 因此，它是节能设计的重点之一。 </w:t>
      </w:r>
    </w:p>
    <w:p>
      <w:pPr>
        <w:spacing w:line="360" w:lineRule="auto"/>
        <w:ind w:firstLine="573"/>
        <w:rPr>
          <w:rFonts w:ascii="宋体" w:hAnsi="宋体"/>
          <w:color w:val="000000" w:themeColor="text1"/>
          <w:sz w:val="24"/>
        </w:rPr>
      </w:pPr>
      <w:r>
        <w:rPr>
          <w:rFonts w:hint="eastAsia" w:ascii="宋体" w:hAnsi="宋体"/>
          <w:color w:val="000000" w:themeColor="text1"/>
          <w:sz w:val="24"/>
        </w:rPr>
        <w:t>8、立体绿化 </w:t>
      </w:r>
    </w:p>
    <w:p>
      <w:pPr>
        <w:spacing w:line="360" w:lineRule="auto"/>
        <w:ind w:firstLine="573"/>
        <w:rPr>
          <w:rFonts w:ascii="宋体" w:hAnsi="宋体"/>
          <w:color w:val="000000" w:themeColor="text1"/>
          <w:sz w:val="24"/>
        </w:rPr>
      </w:pPr>
      <w:r>
        <w:rPr>
          <w:rFonts w:hint="eastAsia" w:ascii="宋体" w:hAnsi="宋体"/>
          <w:color w:val="000000" w:themeColor="text1"/>
          <w:sz w:val="24"/>
        </w:rPr>
        <w:t xml:space="preserve">屋顶绿化：屋顶绿化具有良好的保温隔热效果，并能为建筑物内人员提供户外活动和交往的空间。 </w:t>
      </w:r>
    </w:p>
    <w:p>
      <w:pPr>
        <w:spacing w:line="360" w:lineRule="auto"/>
        <w:ind w:firstLine="573"/>
        <w:rPr>
          <w:rFonts w:ascii="宋体" w:hAnsi="宋体"/>
          <w:color w:val="000000" w:themeColor="text1"/>
          <w:sz w:val="24"/>
        </w:rPr>
      </w:pPr>
      <w:r>
        <w:rPr>
          <w:rFonts w:hint="eastAsia" w:ascii="宋体" w:hAnsi="宋体"/>
          <w:color w:val="000000" w:themeColor="text1"/>
          <w:sz w:val="24"/>
        </w:rPr>
        <w:t>9、材料的使用</w:t>
      </w:r>
    </w:p>
    <w:p>
      <w:pPr>
        <w:spacing w:line="360" w:lineRule="auto"/>
        <w:ind w:firstLine="573"/>
        <w:rPr>
          <w:rFonts w:ascii="宋体" w:hAnsi="宋体"/>
          <w:color w:val="000000" w:themeColor="text1"/>
          <w:sz w:val="24"/>
        </w:rPr>
      </w:pPr>
      <w:r>
        <w:rPr>
          <w:rFonts w:hint="eastAsia" w:ascii="宋体" w:hAnsi="宋体"/>
          <w:color w:val="000000" w:themeColor="text1"/>
          <w:sz w:val="24"/>
        </w:rPr>
        <w:t>1）绿色建筑材料，指健康型、环保型、安全型的建筑材料，国际上也称为“健康材料”。</w:t>
      </w:r>
      <w:r>
        <w:rPr>
          <w:rFonts w:hint="eastAsia" w:ascii="宋体" w:hAnsi="宋体"/>
          <w:sz w:val="24"/>
          <w:szCs w:val="28"/>
        </w:rPr>
        <w:t>珠海</w:t>
      </w:r>
      <w:r>
        <w:rPr>
          <w:rFonts w:hint="eastAsia" w:ascii="宋体" w:hAnsi="宋体"/>
          <w:color w:val="000000" w:themeColor="text1"/>
          <w:sz w:val="24"/>
        </w:rPr>
        <w:t>汇华实验学校的建筑材料均应采用绿色建筑材料。</w:t>
      </w:r>
    </w:p>
    <w:p>
      <w:pPr>
        <w:spacing w:line="360" w:lineRule="auto"/>
        <w:ind w:firstLine="573"/>
        <w:rPr>
          <w:rFonts w:ascii="宋体" w:hAnsi="宋体"/>
          <w:color w:val="000000" w:themeColor="text1"/>
          <w:sz w:val="24"/>
        </w:rPr>
      </w:pPr>
      <w:r>
        <w:rPr>
          <w:rFonts w:hint="eastAsia" w:ascii="宋体" w:hAnsi="宋体"/>
          <w:color w:val="000000" w:themeColor="text1"/>
          <w:sz w:val="24"/>
        </w:rPr>
        <w:t>2）使用耐久性好的建筑材料，如高强度（钢、高性能混凝土、高性能混凝土外加剂等。</w:t>
      </w:r>
    </w:p>
    <w:p>
      <w:pPr>
        <w:spacing w:line="360" w:lineRule="auto"/>
        <w:ind w:firstLine="573"/>
        <w:rPr>
          <w:rFonts w:ascii="宋体" w:hAnsi="宋体"/>
          <w:color w:val="000000" w:themeColor="text1"/>
          <w:sz w:val="24"/>
        </w:rPr>
      </w:pPr>
      <w:r>
        <w:rPr>
          <w:rFonts w:hint="eastAsia" w:ascii="宋体" w:hAnsi="宋体"/>
          <w:color w:val="000000" w:themeColor="text1"/>
          <w:sz w:val="24"/>
        </w:rPr>
        <w:t>3）建筑垃圾资源化综合再利用，可再循环材料（按价值计）占所用总建筑材料的10％。</w:t>
      </w:r>
    </w:p>
    <w:p>
      <w:pPr>
        <w:spacing w:line="360" w:lineRule="auto"/>
        <w:ind w:firstLine="573"/>
        <w:rPr>
          <w:rFonts w:ascii="宋体" w:hAnsi="宋体"/>
          <w:color w:val="000000" w:themeColor="text1"/>
          <w:sz w:val="24"/>
        </w:rPr>
      </w:pPr>
      <w:r>
        <w:rPr>
          <w:rFonts w:hint="eastAsia" w:ascii="宋体" w:hAnsi="宋体"/>
          <w:color w:val="000000" w:themeColor="text1"/>
          <w:sz w:val="24"/>
        </w:rPr>
        <w:t>4）在保证性能的前提下，优先使用利用工业或生活废弃物生产的建筑材料。</w:t>
      </w:r>
    </w:p>
    <w:p>
      <w:pPr>
        <w:spacing w:line="360" w:lineRule="auto"/>
        <w:ind w:firstLine="573"/>
        <w:rPr>
          <w:rFonts w:ascii="宋体" w:hAnsi="宋体"/>
          <w:color w:val="000000" w:themeColor="text1"/>
          <w:sz w:val="24"/>
        </w:rPr>
      </w:pPr>
      <w:r>
        <w:rPr>
          <w:rFonts w:hint="eastAsia" w:ascii="宋体" w:hAnsi="宋体"/>
          <w:color w:val="000000" w:themeColor="text1"/>
          <w:sz w:val="24"/>
        </w:rPr>
        <w:t>5) 使用可改善室内空气质量的功能性装饰装修材料。</w:t>
      </w:r>
    </w:p>
    <w:p>
      <w:pPr>
        <w:spacing w:line="360" w:lineRule="auto"/>
        <w:ind w:firstLine="573"/>
        <w:rPr>
          <w:rFonts w:ascii="宋体" w:hAnsi="宋体"/>
          <w:color w:val="000000" w:themeColor="text1"/>
          <w:sz w:val="24"/>
        </w:rPr>
      </w:pPr>
      <w:r>
        <w:rPr>
          <w:rFonts w:hint="eastAsia" w:ascii="宋体" w:hAnsi="宋体"/>
          <w:color w:val="000000" w:themeColor="text1"/>
          <w:sz w:val="24"/>
        </w:rPr>
        <w:t>6) 结构施工与装修工程一次施工到位，避免重复装修与材料浪费。</w:t>
      </w:r>
    </w:p>
    <w:p>
      <w:pPr>
        <w:pStyle w:val="2"/>
        <w:keepNext w:val="0"/>
        <w:keepLines w:val="0"/>
        <w:autoSpaceDE w:val="0"/>
        <w:autoSpaceDN w:val="0"/>
        <w:adjustRightInd w:val="0"/>
        <w:spacing w:before="360" w:after="360" w:line="240" w:lineRule="atLeast"/>
        <w:jc w:val="center"/>
        <w:rPr>
          <w:rFonts w:ascii="宋体" w:hAnsi="宋体"/>
          <w:bCs w:val="0"/>
          <w:color w:val="000000" w:themeColor="text1"/>
          <w:kern w:val="2"/>
          <w:sz w:val="36"/>
        </w:rPr>
      </w:pPr>
      <w:bookmarkStart w:id="78" w:name="_Toc515980412"/>
      <w:r>
        <w:rPr>
          <w:rFonts w:hint="eastAsia" w:ascii="宋体" w:hAnsi="宋体"/>
          <w:bCs w:val="0"/>
          <w:color w:val="000000" w:themeColor="text1"/>
          <w:kern w:val="2"/>
          <w:sz w:val="36"/>
        </w:rPr>
        <w:t>第九章   海绵城市</w:t>
      </w:r>
      <w:bookmarkEnd w:id="78"/>
    </w:p>
    <w:p>
      <w:pPr>
        <w:pStyle w:val="3"/>
        <w:rPr>
          <w:color w:val="000000" w:themeColor="text1"/>
        </w:rPr>
      </w:pPr>
      <w:bookmarkStart w:id="79" w:name="_Toc447542696"/>
      <w:bookmarkStart w:id="80" w:name="_Toc515980413"/>
      <w:r>
        <w:rPr>
          <w:rFonts w:hint="eastAsia"/>
          <w:color w:val="000000" w:themeColor="text1"/>
        </w:rPr>
        <w:t>9.1</w:t>
      </w:r>
      <w:r>
        <w:rPr>
          <w:color w:val="000000" w:themeColor="text1"/>
        </w:rPr>
        <w:t>项目背景</w:t>
      </w:r>
      <w:bookmarkEnd w:id="79"/>
      <w:bookmarkEnd w:id="80"/>
    </w:p>
    <w:p>
      <w:pPr>
        <w:pStyle w:val="60"/>
        <w:numPr>
          <w:ilvl w:val="0"/>
          <w:numId w:val="1"/>
        </w:numPr>
        <w:spacing w:before="156" w:after="156"/>
        <w:rPr>
          <w:rFonts w:cs="Times New Roman"/>
          <w:color w:val="000000" w:themeColor="text1"/>
          <w:szCs w:val="24"/>
        </w:rPr>
      </w:pPr>
      <w:r>
        <w:rPr>
          <w:rFonts w:cs="Times New Roman"/>
          <w:color w:val="000000" w:themeColor="text1"/>
          <w:szCs w:val="24"/>
        </w:rPr>
        <w:t>近年来，随着城市化进程的加快，城市对水资源的需求逐年增加，但由于传统的城市建设以硬化路面为主，导致当前很多南方、北方城市均陷入缺水与内涝并存的尴尬处境。</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为节约水资源，保护和改善城市生态环境，促进生态文明建设，习近平总书记在2013年12月的中央城镇化工作会议上，明确提出了建设自然积存、自然渗透、自然净化的海绵城市的要求。之后，国家各部委相继配套出台了《海绵城市建设技术指南——低影响开发雨水系统构建（试行）》、《关于推进水污染防治领域政府和社会资本合作的实施意见》、《关于印发海绵城市建设绩效评价与考核办法》、《关于推进海绵城市建设的指导意见》、《关于定期上报中央财政支持海绵城市建设试点工作进展情况的通知》、《关于推进开发性金融支持海绵城市建设的通知》等一系列文件，以促进和规范我国海绵城市的建设。</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时隔两年，习近平总书记在2015年12月的中央城市工作会议上，再度强调要提升建设水平，加强城市地下和地上基础设施建设，建设海绵城市；中共中央、国务院在2016年2月发布的《关于进一步加强城市规划建设管理工作的若干意见》中也强调推进海绵城市建设。</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至此，我国已形成了海绵城市建设的顶层设计、技术指南、绩效评价与考核办法、资本合作建议、金融支持方案等内容。2016年2月25日，国家财政部、住房城乡建设部和水利部印发《关于开展2016年中央财政支持海绵城市建设试点工作的通知》，在非第一批试点城市所在的省份内开展海绵城市建设第二批试点工作。</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自2015年开始筹备国家海绵城市建设第二批试点名额的申请工作。作为一个滨海城市，珠海市降水丰富、河网密布、人均绿地面积位居全国前列、自然系统蓄水能力强，具备建设海绵城市的良好生态环境基础。此外，珠海市在其城市发展过程中始终坚持生态环境保护与经济发展双赢战略，践行“蓝色珠海、科学崛起”方针，在2014年创造性提出了建设国际宜居城市的目标，2015年前瞻性地进行了海绵城市建设工作探索，形成了珠海市建设海绵城市强有力的政策环境。</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海绵城市的建设，是珠海市落实我国新型城镇化战略、实现珠海市国际宜居城市建设目标的重要组成部分。通过建设海绵城市，大力推行低影响的开发建设模式，将进一步提升珠海市生态文明建设水平，提高珠海市的可持续发展能力和城市安全水平。</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为顺利推进珠海市海绵城市建设工作，增强珠海市海绵城市建设的系统性、整体性，需要开展《珠海市海绵城市专项规划》的编制工作，明确珠海市海绵城市建设的总体目标和具体建设指标，分解落实并明确各分区地块的改造和建设要求，明确海绵城市相关设施的布局、规模和建设要求，从而指导珠海市海绵城市的近期和远期建设，真正实现海绵城市建设理念的充分落实。</w:t>
      </w:r>
    </w:p>
    <w:p>
      <w:pPr>
        <w:pStyle w:val="60"/>
        <w:numPr>
          <w:ilvl w:val="0"/>
          <w:numId w:val="1"/>
        </w:numPr>
        <w:spacing w:before="156" w:after="156"/>
        <w:rPr>
          <w:rFonts w:cs="Times New Roman"/>
          <w:color w:val="000000" w:themeColor="text1"/>
          <w:szCs w:val="24"/>
        </w:rPr>
      </w:pPr>
      <w:r>
        <w:rPr>
          <w:rFonts w:hint="eastAsia" w:cs="Times New Roman"/>
          <w:color w:val="000000" w:themeColor="text1"/>
          <w:szCs w:val="24"/>
        </w:rPr>
        <w:t>本规划原为《珠海市海绵城市总体规划（2015-2020）》，经过中国城市科学研究会、珠海市规划设计研究院、上海市政工程总院三家单位近20名市政工程、城市规划、风景园林等专业人员，经过半年多时间，多次现场调研、与各部门会议沟通、听取领导、专家建议等，基本成果包含了专项规划的所有内容及深度。根据《住房城乡建设部关于印发海绵城市专项规划编制暂行规定的通知》（建规[2016] 50号），要求各地结合实际编制海绵城市专项规划。本规划改为《珠海市海绵城市专项规划（2015-2020）》。</w:t>
      </w:r>
    </w:p>
    <w:p>
      <w:pPr>
        <w:pStyle w:val="3"/>
        <w:rPr>
          <w:color w:val="000000" w:themeColor="text1"/>
        </w:rPr>
      </w:pPr>
      <w:bookmarkStart w:id="81" w:name="_Toc515980414"/>
      <w:bookmarkStart w:id="82" w:name="_Toc447542697"/>
      <w:r>
        <w:rPr>
          <w:rFonts w:hint="eastAsia"/>
          <w:color w:val="000000" w:themeColor="text1"/>
        </w:rPr>
        <w:t>9.2</w:t>
      </w:r>
      <w:r>
        <w:rPr>
          <w:color w:val="000000" w:themeColor="text1"/>
        </w:rPr>
        <w:t>规划依据</w:t>
      </w:r>
      <w:bookmarkEnd w:id="81"/>
      <w:bookmarkEnd w:id="82"/>
    </w:p>
    <w:p>
      <w:pPr>
        <w:pStyle w:val="60"/>
        <w:numPr>
          <w:ilvl w:val="0"/>
          <w:numId w:val="1"/>
        </w:numPr>
        <w:spacing w:before="156" w:after="156"/>
        <w:rPr>
          <w:rFonts w:cs="Times New Roman"/>
          <w:color w:val="000000" w:themeColor="text1"/>
          <w:szCs w:val="24"/>
        </w:rPr>
      </w:pPr>
      <w:r>
        <w:rPr>
          <w:rFonts w:cs="Times New Roman"/>
          <w:color w:val="000000" w:themeColor="text1"/>
          <w:szCs w:val="24"/>
        </w:rPr>
        <w:t>《中华人民共和国城乡规划法》</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《中华人民共和国土地管理法》</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《城镇排水与污水处理条例》</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《海绵城市建设技术指南》（建设部2014）</w:t>
      </w:r>
    </w:p>
    <w:p>
      <w:pPr>
        <w:pStyle w:val="60"/>
        <w:numPr>
          <w:ilvl w:val="0"/>
          <w:numId w:val="1"/>
        </w:numPr>
        <w:spacing w:before="156" w:after="156"/>
        <w:ind w:firstLineChars="0"/>
        <w:rPr>
          <w:rFonts w:cs="Times New Roman"/>
          <w:color w:val="000000" w:themeColor="text1"/>
          <w:szCs w:val="24"/>
        </w:rPr>
      </w:pPr>
      <w:r>
        <w:rPr>
          <w:rFonts w:cs="Times New Roman"/>
          <w:color w:val="000000" w:themeColor="text1"/>
          <w:szCs w:val="24"/>
        </w:rPr>
        <w:t>《关于推进海绵城市建设的指导意见》</w:t>
      </w:r>
      <w:r>
        <w:rPr>
          <w:rFonts w:hint="eastAsia" w:cs="Times New Roman"/>
          <w:color w:val="000000" w:themeColor="text1"/>
          <w:szCs w:val="24"/>
        </w:rPr>
        <w:t>（</w:t>
      </w:r>
      <w:r>
        <w:rPr>
          <w:rFonts w:cs="Times New Roman"/>
          <w:color w:val="000000" w:themeColor="text1"/>
          <w:szCs w:val="24"/>
        </w:rPr>
        <w:t>国办发</w:t>
      </w:r>
      <w:r>
        <w:rPr>
          <w:rFonts w:hint="eastAsia" w:cs="Times New Roman"/>
          <w:color w:val="000000" w:themeColor="text1"/>
          <w:szCs w:val="24"/>
        </w:rPr>
        <w:t>〔2015〕75号</w:t>
      </w:r>
      <w:r>
        <w:rPr>
          <w:rFonts w:cs="Times New Roman"/>
          <w:color w:val="000000" w:themeColor="text1"/>
          <w:szCs w:val="24"/>
        </w:rPr>
        <w:t>）</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 xml:space="preserve"> 《国务院办公厅关于做好城市排水防涝设施建设工作的通知》（国办发〔2013〕23号）</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《国务院关于加强城市基础设施建设的意见》（国发〔2013〕36号）</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《国务院办公厅关于印发城市总体规划修编工作规则的通知》（国办发〔2010〕20号）（以下简称《工作规则》）</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《国务院关于印发全国主体功能区划的通知》（国发〔2010〕46号）</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《广东省城乡规划条例》</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《广东省主体功能区划》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《广东省城镇体系规划（2012-2020）》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《珠江三角洲城镇群协调发展规划（2004-2020）》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《珠江三角洲地区改革发展规划纲要（2008-2020）》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《珠海经济特区城乡规划条例》</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《珠海市城市总体规划（2001-2020）》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《珠海市城市总体规划修编（2015-2020）》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《珠海2030空间发展战略研究》（2006年）</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《珠海市土地利用总体规划（2006-2020）》</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《珠海发展战略研究》（2007年）</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《珠海市主体功能区规划》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《珠海市国民经济和社会发展第十二个五年规划》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周边城市（香港、澳门、广州、深圳、佛山、东莞、中山、江门等）相关规划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国家、省、市相关的其他法规</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《珠海市流域综合规划》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《珠海市水资源综合规划》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《珠海市蓝线规划》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《珠海市城区排水防涝建设规划》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《珠海雨水系统与防洪规划》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《珠海污水系统专项规划》</w:t>
      </w:r>
    </w:p>
    <w:p>
      <w:pPr>
        <w:pStyle w:val="60"/>
        <w:numPr>
          <w:ilvl w:val="0"/>
          <w:numId w:val="1"/>
        </w:numPr>
        <w:spacing w:before="156" w:after="156"/>
        <w:rPr>
          <w:rFonts w:cs="Times New Roman"/>
          <w:color w:val="000000" w:themeColor="text1"/>
          <w:szCs w:val="24"/>
        </w:rPr>
      </w:pPr>
      <w:r>
        <w:rPr>
          <w:rFonts w:cs="Times New Roman"/>
          <w:color w:val="000000" w:themeColor="text1"/>
          <w:szCs w:val="24"/>
        </w:rPr>
        <w:t>《珠海市绿线规划》</w:t>
      </w:r>
    </w:p>
    <w:p>
      <w:pPr>
        <w:pStyle w:val="3"/>
        <w:rPr>
          <w:color w:val="000000" w:themeColor="text1"/>
        </w:rPr>
      </w:pPr>
      <w:bookmarkStart w:id="83" w:name="_Toc447542698"/>
      <w:bookmarkStart w:id="84" w:name="_Toc515980415"/>
      <w:r>
        <w:rPr>
          <w:rFonts w:hint="eastAsia"/>
          <w:color w:val="000000" w:themeColor="text1"/>
        </w:rPr>
        <w:t>9.3</w:t>
      </w:r>
      <w:r>
        <w:rPr>
          <w:color w:val="000000" w:themeColor="text1"/>
        </w:rPr>
        <w:t>规划范围与期限</w:t>
      </w:r>
      <w:bookmarkEnd w:id="83"/>
      <w:bookmarkEnd w:id="84"/>
      <w:bookmarkStart w:id="85" w:name="_Toc447542699"/>
    </w:p>
    <w:p>
      <w:pPr>
        <w:rPr>
          <w:rFonts w:ascii="宋体" w:hAnsi="宋体"/>
          <w:color w:val="000000" w:themeColor="text1"/>
          <w:sz w:val="24"/>
        </w:rPr>
      </w:pPr>
      <w:r>
        <w:rPr>
          <w:rFonts w:hint="eastAsia" w:ascii="宋体" w:hAnsi="宋体"/>
          <w:color w:val="000000" w:themeColor="text1"/>
          <w:sz w:val="24"/>
        </w:rPr>
        <w:t>1、</w:t>
      </w:r>
      <w:r>
        <w:rPr>
          <w:rFonts w:ascii="宋体" w:hAnsi="宋体"/>
          <w:color w:val="000000" w:themeColor="text1"/>
          <w:sz w:val="24"/>
        </w:rPr>
        <w:t>规划范围</w:t>
      </w:r>
      <w:bookmarkEnd w:id="85"/>
    </w:p>
    <w:p>
      <w:pPr>
        <w:pStyle w:val="60"/>
        <w:spacing w:before="156" w:after="156"/>
        <w:rPr>
          <w:rFonts w:cs="Times New Roman"/>
          <w:color w:val="000000" w:themeColor="text1"/>
          <w:szCs w:val="24"/>
        </w:rPr>
      </w:pPr>
      <w:r>
        <w:rPr>
          <w:rFonts w:cs="Times New Roman"/>
          <w:color w:val="000000" w:themeColor="text1"/>
          <w:szCs w:val="24"/>
        </w:rPr>
        <w:t>本研究范围包括珠海市市域范围、中心城区、新城新区三个层次。</w:t>
      </w:r>
    </w:p>
    <w:p>
      <w:pPr>
        <w:pStyle w:val="60"/>
        <w:spacing w:before="156" w:after="156"/>
        <w:rPr>
          <w:rFonts w:cs="Times New Roman"/>
          <w:color w:val="000000" w:themeColor="text1"/>
          <w:szCs w:val="24"/>
        </w:rPr>
      </w:pPr>
      <w:r>
        <w:rPr>
          <w:rFonts w:cs="Times New Roman"/>
          <w:color w:val="000000" w:themeColor="text1"/>
          <w:szCs w:val="24"/>
        </w:rPr>
        <w:t>市域范围为珠海市全境，包括香洲区、金湾区和斗门区。总面积约7827平方公里，其中陆域面积约1724平方公里，海域面积约6103平方公里。</w:t>
      </w:r>
    </w:p>
    <w:p>
      <w:pPr>
        <w:pStyle w:val="60"/>
        <w:spacing w:before="156" w:after="156"/>
        <w:rPr>
          <w:rFonts w:cs="Times New Roman"/>
          <w:color w:val="000000" w:themeColor="text1"/>
          <w:szCs w:val="24"/>
        </w:rPr>
      </w:pPr>
      <w:r>
        <w:rPr>
          <w:rFonts w:cs="Times New Roman"/>
          <w:color w:val="000000" w:themeColor="text1"/>
          <w:szCs w:val="24"/>
        </w:rPr>
        <w:t>中心城区指香洲城区和南湾城区，其范围由新老香洲、吉大、拱北、前山、南屏、湾仔、洪湾组成，面积约190平方公里，即香洲城区和南湾城区范围。</w:t>
      </w:r>
    </w:p>
    <w:p>
      <w:pPr>
        <w:pStyle w:val="60"/>
        <w:spacing w:before="156" w:after="156"/>
        <w:rPr>
          <w:rFonts w:cs="Times New Roman"/>
          <w:color w:val="000000" w:themeColor="text1"/>
          <w:szCs w:val="24"/>
        </w:rPr>
      </w:pPr>
      <w:r>
        <w:rPr>
          <w:rFonts w:cs="Times New Roman"/>
          <w:color w:val="000000" w:themeColor="text1"/>
          <w:szCs w:val="24"/>
        </w:rPr>
        <w:t>新城（区</w:t>
      </w:r>
      <w:r>
        <w:rPr>
          <w:rFonts w:hint="eastAsia" w:cs="Times New Roman"/>
          <w:color w:val="000000" w:themeColor="text1"/>
          <w:szCs w:val="24"/>
        </w:rPr>
        <w:t>）</w:t>
      </w:r>
      <w:r>
        <w:rPr>
          <w:rFonts w:cs="Times New Roman"/>
          <w:color w:val="000000" w:themeColor="text1"/>
          <w:szCs w:val="24"/>
        </w:rPr>
        <w:t>指珠海市重点发展的横琴新区、西部生态新城和周边各具特色的科教城、海港城、富山城。其中，西部生态新城由航空城和滨江城组成；科教城即唐家湾新城，包括金鼎、唐家与淇澳；海港城包括高栏港经济技术开发区和平沙新城；富山城包括富山工业园，是斗门区的重要组成部分。</w:t>
      </w:r>
      <w:bookmarkStart w:id="86" w:name="_Toc447542700"/>
    </w:p>
    <w:p>
      <w:pPr>
        <w:pStyle w:val="60"/>
        <w:spacing w:before="156" w:after="156"/>
        <w:ind w:firstLine="0" w:firstLineChars="0"/>
        <w:rPr>
          <w:rFonts w:cs="Times New Roman"/>
          <w:color w:val="000000" w:themeColor="text1"/>
          <w:szCs w:val="24"/>
        </w:rPr>
      </w:pPr>
      <w:r>
        <w:rPr>
          <w:rFonts w:hint="eastAsia" w:cs="Times New Roman"/>
          <w:color w:val="000000" w:themeColor="text1"/>
          <w:szCs w:val="24"/>
        </w:rPr>
        <w:t>2、</w:t>
      </w:r>
      <w:r>
        <w:rPr>
          <w:rFonts w:cs="Times New Roman"/>
          <w:color w:val="000000" w:themeColor="text1"/>
          <w:szCs w:val="24"/>
        </w:rPr>
        <w:t>规划期限</w:t>
      </w:r>
      <w:bookmarkEnd w:id="86"/>
    </w:p>
    <w:p>
      <w:pPr>
        <w:pStyle w:val="60"/>
        <w:spacing w:before="156" w:after="156"/>
        <w:rPr>
          <w:rFonts w:cs="Times New Roman"/>
          <w:color w:val="000000" w:themeColor="text1"/>
          <w:szCs w:val="24"/>
        </w:rPr>
      </w:pPr>
      <w:r>
        <w:rPr>
          <w:rFonts w:cs="Times New Roman"/>
          <w:color w:val="000000" w:themeColor="text1"/>
          <w:szCs w:val="24"/>
        </w:rPr>
        <w:t>本次规划的规划期限为2015-2020年</w:t>
      </w:r>
      <w:r>
        <w:rPr>
          <w:rFonts w:hint="eastAsia" w:cs="Times New Roman"/>
          <w:color w:val="000000" w:themeColor="text1"/>
          <w:szCs w:val="24"/>
        </w:rPr>
        <w:t>，</w:t>
      </w:r>
      <w:r>
        <w:rPr>
          <w:rFonts w:cs="Times New Roman"/>
          <w:color w:val="000000" w:themeColor="text1"/>
          <w:szCs w:val="24"/>
        </w:rPr>
        <w:t>2020</w:t>
      </w:r>
      <w:r>
        <w:rPr>
          <w:rFonts w:hint="eastAsia" w:cs="Times New Roman"/>
          <w:color w:val="000000" w:themeColor="text1"/>
          <w:szCs w:val="24"/>
        </w:rPr>
        <w:t>-2030</w:t>
      </w:r>
      <w:r>
        <w:rPr>
          <w:rFonts w:cs="Times New Roman"/>
          <w:color w:val="000000" w:themeColor="text1"/>
          <w:szCs w:val="24"/>
        </w:rPr>
        <w:t>年为远景</w:t>
      </w:r>
      <w:r>
        <w:rPr>
          <w:rFonts w:hint="eastAsia" w:cs="Times New Roman"/>
          <w:color w:val="000000" w:themeColor="text1"/>
          <w:szCs w:val="24"/>
        </w:rPr>
        <w:t>规划</w:t>
      </w:r>
      <w:r>
        <w:rPr>
          <w:rFonts w:cs="Times New Roman"/>
          <w:color w:val="000000" w:themeColor="text1"/>
          <w:szCs w:val="24"/>
        </w:rPr>
        <w:t>。</w:t>
      </w:r>
      <w:bookmarkStart w:id="87" w:name="_Toc447542701"/>
    </w:p>
    <w:p>
      <w:pPr>
        <w:pStyle w:val="60"/>
        <w:spacing w:before="156" w:after="156"/>
        <w:ind w:firstLine="0" w:firstLineChars="0"/>
        <w:rPr>
          <w:rFonts w:cs="Times New Roman"/>
          <w:color w:val="000000" w:themeColor="text1"/>
          <w:szCs w:val="24"/>
        </w:rPr>
      </w:pPr>
      <w:r>
        <w:rPr>
          <w:rFonts w:hint="eastAsia" w:cs="Times New Roman"/>
          <w:color w:val="000000" w:themeColor="text1"/>
          <w:szCs w:val="24"/>
        </w:rPr>
        <w:t>3、</w:t>
      </w:r>
      <w:r>
        <w:rPr>
          <w:rFonts w:cs="Times New Roman"/>
          <w:color w:val="000000" w:themeColor="text1"/>
          <w:szCs w:val="24"/>
        </w:rPr>
        <w:t>规划原则</w:t>
      </w:r>
      <w:bookmarkEnd w:id="87"/>
    </w:p>
    <w:p>
      <w:pPr>
        <w:pStyle w:val="60"/>
        <w:spacing w:before="156" w:after="156"/>
        <w:rPr>
          <w:rFonts w:cs="Times New Roman"/>
          <w:color w:val="000000" w:themeColor="text1"/>
          <w:szCs w:val="24"/>
        </w:rPr>
      </w:pPr>
      <w:r>
        <w:rPr>
          <w:rFonts w:cs="Times New Roman"/>
          <w:color w:val="000000" w:themeColor="text1"/>
          <w:szCs w:val="24"/>
        </w:rPr>
        <w:t>珠海市落实海绵城市建设的基本原则——规划引领、生态优先、安全为重、因地制宜、统筹建设。</w:t>
      </w:r>
    </w:p>
    <w:p>
      <w:pPr>
        <w:pStyle w:val="60"/>
        <w:spacing w:before="156" w:after="156"/>
        <w:rPr>
          <w:rFonts w:cs="Times New Roman"/>
          <w:color w:val="000000" w:themeColor="text1"/>
          <w:szCs w:val="24"/>
        </w:rPr>
      </w:pPr>
      <w:r>
        <w:rPr>
          <w:rFonts w:cs="Times New Roman"/>
          <w:color w:val="000000" w:themeColor="text1"/>
          <w:szCs w:val="24"/>
        </w:rPr>
        <w:t>规划引领：珠海市各区域、各层级、各相关专业规划（主要包括城市水系规划、绿地系统专项规划、城市排水防涝综合规划、城市道路交通专项规划）以及后续的建设程序中应落实海绵城市建设、低影响开发雨水系统构建的内容，先规划后建设，发挥规划的控制和引领作用。</w:t>
      </w:r>
    </w:p>
    <w:p>
      <w:pPr>
        <w:pStyle w:val="60"/>
        <w:spacing w:before="156" w:after="156"/>
        <w:rPr>
          <w:rFonts w:cs="Times New Roman"/>
          <w:color w:val="000000" w:themeColor="text1"/>
          <w:szCs w:val="24"/>
        </w:rPr>
      </w:pPr>
      <w:r>
        <w:rPr>
          <w:rFonts w:cs="Times New Roman"/>
          <w:color w:val="000000" w:themeColor="text1"/>
          <w:szCs w:val="24"/>
        </w:rPr>
        <w:t>生态优先：按照珠海市总体规划划定蓝线和绿线。城市开发建设应保护河流、湖泊、湿地、坑塘、沟渠等水敏感区，优先利用自然排水系统与低影响开发设施，实现雨水的自然积存、自然渗透、自然净化和可持续水环境，提高水生态系统的自然修复能力，维护城市良好的生态功能。</w:t>
      </w:r>
    </w:p>
    <w:p>
      <w:pPr>
        <w:pStyle w:val="60"/>
        <w:spacing w:before="156" w:after="156"/>
        <w:rPr>
          <w:rFonts w:cs="Times New Roman"/>
          <w:color w:val="000000" w:themeColor="text1"/>
          <w:szCs w:val="24"/>
        </w:rPr>
      </w:pPr>
      <w:r>
        <w:rPr>
          <w:rFonts w:cs="Times New Roman"/>
          <w:color w:val="000000" w:themeColor="text1"/>
          <w:szCs w:val="24"/>
        </w:rPr>
        <w:t>安全为重：珠海市强热带风暴及台风频发，雨季的暴雨强度大，防洪排涝问题十分严峻。海绵城市低影响雨水系统是对城市防洪辅助途径，海绵城市建设是以保护人民生命财产安全和社会经济安全为出发点，综合采用工程和非工程措施提高低影响开发设施的建设质量和管理水平，消除安全隐患，增强防灾减灾能力，保障珠海市的水安全。</w:t>
      </w:r>
    </w:p>
    <w:p>
      <w:pPr>
        <w:pStyle w:val="60"/>
        <w:spacing w:before="156" w:after="156"/>
        <w:rPr>
          <w:rFonts w:cs="Times New Roman"/>
          <w:color w:val="000000" w:themeColor="text1"/>
          <w:szCs w:val="24"/>
        </w:rPr>
      </w:pPr>
      <w:r>
        <w:rPr>
          <w:rFonts w:cs="Times New Roman"/>
          <w:color w:val="000000" w:themeColor="text1"/>
          <w:szCs w:val="24"/>
        </w:rPr>
        <w:t>因地制宜：根据珠海市的自然地理条件、水文地质特点、水资源禀赋状况、降雨规律、水环境保护与内涝防治的要求。根据总体规划，各个区域需要合理确定分块的低影响开发控制目标与指标，科学规划布局和选用下沉式绿地、植草沟、雨水湿地、透水铺装、多功能调蓄等低影响开发设施及其组合系统。</w:t>
      </w:r>
    </w:p>
    <w:p>
      <w:pPr>
        <w:pStyle w:val="60"/>
        <w:spacing w:before="156" w:after="156"/>
        <w:rPr>
          <w:rFonts w:cs="Times New Roman"/>
          <w:color w:val="000000" w:themeColor="text1"/>
          <w:szCs w:val="24"/>
        </w:rPr>
      </w:pPr>
      <w:r>
        <w:rPr>
          <w:rFonts w:cs="Times New Roman"/>
          <w:color w:val="000000" w:themeColor="text1"/>
          <w:szCs w:val="24"/>
        </w:rPr>
        <w:t>统筹建设：珠海市地方政府结合城市总体规划和建设，在各类建设项目中严格落实各层级相关规划中确定的低影响开发控制目标、指标和技术要求，统筹建设。低影响开发雨水设施应与建设项目的主体工程同时设计、同时施工、同</w:t>
      </w:r>
      <w:r>
        <w:rPr>
          <w:rFonts w:hint="eastAsia" w:cs="Times New Roman"/>
          <w:color w:val="000000" w:themeColor="text1"/>
          <w:szCs w:val="24"/>
        </w:rPr>
        <w:t>时</w:t>
      </w:r>
      <w:r>
        <w:rPr>
          <w:rFonts w:cs="Times New Roman"/>
          <w:color w:val="000000" w:themeColor="text1"/>
          <w:szCs w:val="24"/>
        </w:rPr>
        <w:t>投入使用。</w:t>
      </w:r>
    </w:p>
    <w:p>
      <w:pPr>
        <w:pStyle w:val="60"/>
        <w:spacing w:before="156" w:after="156"/>
        <w:rPr>
          <w:rFonts w:cs="Times New Roman"/>
          <w:color w:val="000000" w:themeColor="text1"/>
          <w:szCs w:val="24"/>
        </w:rPr>
      </w:pPr>
      <w:r>
        <w:rPr>
          <w:rFonts w:hint="eastAsia" w:cs="Times New Roman"/>
          <w:color w:val="000000" w:themeColor="text1"/>
          <w:szCs w:val="24"/>
        </w:rPr>
        <w:t>4、设计要点</w:t>
      </w:r>
    </w:p>
    <w:p>
      <w:pPr>
        <w:spacing w:line="360" w:lineRule="auto"/>
        <w:ind w:firstLine="480" w:firstLineChars="200"/>
        <w:rPr>
          <w:rFonts w:ascii="宋体" w:hAnsi="宋体"/>
          <w:color w:val="000000" w:themeColor="text1"/>
          <w:sz w:val="24"/>
        </w:rPr>
      </w:pPr>
      <w:r>
        <w:rPr>
          <w:rFonts w:ascii="宋体" w:hAnsi="宋体"/>
          <w:color w:val="000000" w:themeColor="text1"/>
          <w:sz w:val="24"/>
        </w:rPr>
        <w:t>公共建筑雨水径流应通过有组织的汇流与转输，经截污等预处理后引入雨水调蓄设施或绿地内的以雨水渗透为主要功能的低影响开发设施。因空间限制等原因不能满足控制目标的建筑，径流雨水还可通过城市雨水管渠系统引入城市绿地与广场内的低影响开发设施。低影响开发设施的选择应因地制宜、经济有效、方便易行。公共建筑的典型低影响开发设施包括雨水调蓄池、雨水花园、生物滞留带、高位花坛和生态树池等，其中典型的公共建筑雨水调蓄池设施的设计图如下所示：</w:t>
      </w:r>
    </w:p>
    <w:p>
      <w:pPr>
        <w:spacing w:line="360" w:lineRule="auto"/>
        <w:ind w:firstLine="480" w:firstLineChars="200"/>
        <w:jc w:val="center"/>
        <w:rPr>
          <w:rFonts w:ascii="宋体" w:hAnsi="宋体"/>
          <w:color w:val="000000" w:themeColor="text1"/>
          <w:sz w:val="24"/>
        </w:rPr>
      </w:pPr>
      <w:r>
        <w:rPr>
          <w:rFonts w:ascii="宋体" w:hAnsi="宋体"/>
          <w:color w:val="000000" w:themeColor="text1"/>
          <w:sz w:val="24"/>
        </w:rPr>
        <w:drawing>
          <wp:inline distT="0" distB="0" distL="0" distR="0">
            <wp:extent cx="4430395" cy="4366895"/>
            <wp:effectExtent l="19050" t="0" r="8255" b="0"/>
            <wp:docPr id="17"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9"/>
                    <pic:cNvPicPr>
                      <a:picLocks noChangeAspect="1" noChangeArrowheads="1"/>
                    </pic:cNvPicPr>
                  </pic:nvPicPr>
                  <pic:blipFill>
                    <a:blip r:embed="rId25"/>
                    <a:srcRect/>
                    <a:stretch>
                      <a:fillRect/>
                    </a:stretch>
                  </pic:blipFill>
                  <pic:spPr>
                    <a:xfrm>
                      <a:off x="0" y="0"/>
                      <a:ext cx="4430395" cy="4366895"/>
                    </a:xfrm>
                    <a:prstGeom prst="rect">
                      <a:avLst/>
                    </a:prstGeom>
                    <a:noFill/>
                    <a:ln w="9525" cmpd="sng">
                      <a:noFill/>
                      <a:miter lim="800000"/>
                      <a:headEnd/>
                      <a:tailEnd/>
                    </a:ln>
                  </pic:spPr>
                </pic:pic>
              </a:graphicData>
            </a:graphic>
          </wp:inline>
        </w:drawing>
      </w:r>
    </w:p>
    <w:p>
      <w:pPr>
        <w:pStyle w:val="5"/>
        <w:spacing w:beforeLines="100" w:afterLines="10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 xml:space="preserve">图8- </w:t>
      </w:r>
      <w:r>
        <w:rPr>
          <w:rFonts w:ascii="宋体" w:hAnsi="宋体" w:eastAsia="宋体" w:cs="Times New Roman"/>
          <w:color w:val="000000" w:themeColor="text1"/>
          <w:sz w:val="24"/>
          <w:szCs w:val="24"/>
        </w:rPr>
        <w:fldChar w:fldCharType="begin"/>
      </w:r>
      <w:r>
        <w:rPr>
          <w:rFonts w:ascii="宋体" w:hAnsi="宋体" w:eastAsia="宋体" w:cs="Times New Roman"/>
          <w:color w:val="000000" w:themeColor="text1"/>
          <w:sz w:val="24"/>
          <w:szCs w:val="24"/>
        </w:rPr>
        <w:instrText xml:space="preserve"> SEQ 图8- \* ARABIC </w:instrText>
      </w:r>
      <w:r>
        <w:rPr>
          <w:rFonts w:ascii="宋体" w:hAnsi="宋体" w:eastAsia="宋体" w:cs="Times New Roman"/>
          <w:color w:val="000000" w:themeColor="text1"/>
          <w:sz w:val="24"/>
          <w:szCs w:val="24"/>
        </w:rPr>
        <w:fldChar w:fldCharType="separate"/>
      </w:r>
      <w:r>
        <w:rPr>
          <w:rFonts w:ascii="宋体" w:hAnsi="宋体" w:eastAsia="宋体" w:cs="Times New Roman"/>
          <w:color w:val="000000" w:themeColor="text1"/>
          <w:sz w:val="24"/>
          <w:szCs w:val="24"/>
        </w:rPr>
        <w:t>6</w:t>
      </w:r>
      <w:r>
        <w:rPr>
          <w:rFonts w:ascii="宋体" w:hAnsi="宋体" w:eastAsia="宋体" w:cs="Times New Roman"/>
          <w:color w:val="000000" w:themeColor="text1"/>
          <w:sz w:val="24"/>
          <w:szCs w:val="24"/>
        </w:rPr>
        <w:fldChar w:fldCharType="end"/>
      </w:r>
      <w:r>
        <w:rPr>
          <w:rFonts w:ascii="宋体" w:hAnsi="宋体" w:eastAsia="宋体" w:cs="Times New Roman"/>
          <w:color w:val="000000" w:themeColor="text1"/>
          <w:sz w:val="24"/>
          <w:szCs w:val="24"/>
        </w:rPr>
        <w:t>典型的雨水调蓄池设计图</w:t>
      </w:r>
    </w:p>
    <w:p>
      <w:pPr>
        <w:spacing w:line="360" w:lineRule="auto"/>
        <w:ind w:firstLine="480" w:firstLineChars="200"/>
        <w:jc w:val="left"/>
        <w:rPr>
          <w:rFonts w:ascii="宋体" w:hAnsi="宋体"/>
          <w:color w:val="000000" w:themeColor="text1"/>
          <w:sz w:val="24"/>
        </w:rPr>
      </w:pPr>
      <w:r>
        <w:rPr>
          <w:rFonts w:ascii="宋体" w:hAnsi="宋体"/>
          <w:color w:val="000000" w:themeColor="text1"/>
          <w:sz w:val="24"/>
        </w:rPr>
        <w:t>公共建筑海绵性设计的要点为：</w:t>
      </w:r>
    </w:p>
    <w:p>
      <w:pPr>
        <w:pStyle w:val="62"/>
        <w:numPr>
          <w:ilvl w:val="0"/>
          <w:numId w:val="2"/>
        </w:numPr>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公共建筑海绵性设计应遵循以下流程：</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1）依据上位规划明确项目的低影响开发控制指标；</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2）对用地范围内的现状和规划下垫面进行解析；</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3）根据控制指标和下垫面解析结果，确定城市公共建筑内低影响开发措施的规模和雨水利用总量。</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4）结合上述分析，因地制宜，选用适宜的低影响开发设施，确定其建设形式和布局；</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5）根据低影响开发设施的内容和规模，复核低影响开发指标。</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（2）在公共建筑周边建设有渗透功能的源头控制设施，设施距离建筑物基础不应小于3m，设施底部渗透面距离季节性最高地下水位或岩石层不应小于1m；当不能满足上述要求时，应采取措施防止次生灾害的发生。</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3）广场应采用透水铺装地面。承重要求较高的广场可采用透水铺装与硬质铺装相间布置的形式；广场周围应采用下凹式绿地，如雨水花园、植草沟等，广场超渗雨水应引入周围绿地进行入渗和排放。广场雨水可收集回用，经适当处理可用于道路、广场浇洒和绿地灌溉。</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（4）用于超标雨水调蓄的下沉式广场的设计，应符合下列规定：</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1）主要功能宜为削减峰值流量，应综合考虑广场构造和功能、整体景观协调性、安全防护要求、积水风险、积水排空时间和其他现场条件。</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2）应设置超标雨水专用入口，且入口处标高宜高于地面标高5cm~10cm，且应设置格栅等拦污设施，出水可设计为多级出水口形式。有条件的地区，下沉式广场专用入口的标高宜通过水力模型模拟计算确定。</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3）应设置雨水排除设施，排空时间宜为12h~24h，对于重力无法排空的广场，应采取水泵排空的方式。</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4）应设置清淤装置和检修通道。</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5）应设置疏散通道和警示牌，并应设置预警预报系统。</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（5）浅层调蓄池是在人行道、广场的铺装层或绿化种植土以下，在地下水位以上用人工材料堆砌成大小、形状不同的雨水调蓄空间。其设计应符合下列规定：</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1）宜设置进水井、进出水管、排泥检查井、溢流口、取水口和单向截止阀等设施。</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2）宜具有排泥的功能。</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3）具有渗透功能的调蓄池四周宜采用级配碎石（20mm~50mm）包裹，调蓄池上下碎石层厚度应大于150mm。</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4）两组调蓄空间间距不应小于800mm。</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5）底部设置穿孔管排水时，宜选择大于等于200g/m2长丝土工布包裹。</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6）建在临近道路和建筑物等区域时，宜敷设大于等于1.2mm的防渗膜，并不得对地基或路基产生影响。</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6）生物滞留设施的形式包括雨水花园、生物滞留带、高位花坛和生态树池等，可设置于停车场、街心花园、道路两侧或小区绿地等位置。由上而下一般为蓄水层、覆盖层、种植层、透水土工布和砾石层组成，并应符合下列规定：</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1）蓄水层深度应根据生物滞留设施的型式、植物耐淹性能和土壤渗透性能确定，一般为0~300mm，并应设100mm的超高。</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2）覆盖层，在有蓄水层时宜采用陶粒、钢渣等材料；在无蓄水层时，宜采用松树皮等材料；厚度约为50mm。</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3）种植层介质类型和深度应满足雨水净化的要求，还应符合植物种植的要求；</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4）种植层底部宜设置大于等于200g/m2长丝透水土工布。</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5）砾石层厚度宜为200~250mm，可在其底部埋置管径为100~150mm的穿孔排水管，砾石应洗净且粒径不小于穿孔管得开孔孔径；为提高生物滞留设施的调蓄作用，在穿孔管底部可增设一定厚度的砾石调蓄层。</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（7）露天停车场周围应采用下凹式绿地，如雨水花园、植草沟等，露天停车场超渗雨水应引入周围绿地进行入渗和排放。</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8）公共建筑的平屋面（坡度小于15°）宜采用屋顶绿化（绿色屋顶）的方式蓄存雨水。大面积屋面雨水宜收集回用。可收集进入水景池或地下蓄水池。屋面雨水如不收集回用，应引入建筑周围绿地入渗。绿色屋顶相关设计要点可参照“居住小区设计要点”章节。</w:t>
      </w:r>
    </w:p>
    <w:p>
      <w:pPr>
        <w:pStyle w:val="62"/>
        <w:spacing w:line="360" w:lineRule="auto"/>
        <w:ind w:left="0" w:firstLine="480" w:firstLineChars="200"/>
        <w:rPr>
          <w:rFonts w:ascii="宋体" w:hAnsi="宋体" w:cs="Times New Roman"/>
          <w:color w:val="000000" w:themeColor="text1"/>
          <w:sz w:val="24"/>
          <w:szCs w:val="24"/>
        </w:rPr>
      </w:pPr>
      <w:r>
        <w:rPr>
          <w:rFonts w:ascii="宋体" w:hAnsi="宋体" w:cs="Times New Roman"/>
          <w:color w:val="000000" w:themeColor="text1"/>
          <w:sz w:val="24"/>
          <w:szCs w:val="24"/>
        </w:rPr>
        <w:t>（9）公共建筑景观水体应作为雨水调蓄设施，并与景观设计相结合。调蓄池应设溢流口，超过设计标准的雨水可排入市政管系。调蓄池雨水在非雨季时可收集利用，经适当处理回用于绿化、冲洗地面、景观用水等。</w:t>
      </w:r>
    </w:p>
    <w:p>
      <w:pPr>
        <w:pStyle w:val="2"/>
        <w:keepNext w:val="0"/>
        <w:keepLines w:val="0"/>
        <w:autoSpaceDE w:val="0"/>
        <w:autoSpaceDN w:val="0"/>
        <w:adjustRightInd w:val="0"/>
        <w:spacing w:before="360" w:after="360" w:line="240" w:lineRule="atLeast"/>
        <w:jc w:val="center"/>
        <w:rPr>
          <w:rFonts w:ascii="宋体" w:hAnsi="宋体"/>
          <w:bCs w:val="0"/>
          <w:color w:val="000000" w:themeColor="text1"/>
          <w:kern w:val="2"/>
          <w:sz w:val="36"/>
        </w:rPr>
      </w:pPr>
      <w:bookmarkStart w:id="88" w:name="_Toc515980416"/>
      <w:r>
        <w:rPr>
          <w:rFonts w:hint="eastAsia" w:ascii="宋体" w:hAnsi="宋体"/>
          <w:bCs w:val="0"/>
          <w:color w:val="000000" w:themeColor="text1"/>
          <w:kern w:val="2"/>
          <w:sz w:val="36"/>
        </w:rPr>
        <w:t>第十章  燃气工程</w:t>
      </w:r>
      <w:bookmarkEnd w:id="88"/>
    </w:p>
    <w:p>
      <w:pPr>
        <w:pStyle w:val="3"/>
        <w:rPr>
          <w:color w:val="000000" w:themeColor="text1"/>
        </w:rPr>
      </w:pPr>
      <w:bookmarkStart w:id="89" w:name="_Toc515980417"/>
      <w:r>
        <w:rPr>
          <w:rFonts w:hint="eastAsia"/>
          <w:color w:val="000000" w:themeColor="text1"/>
        </w:rPr>
        <w:t>10.1 设计依据</w:t>
      </w:r>
      <w:bookmarkEnd w:id="89"/>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1.《城镇燃气设计规范》GB50028-2006</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2.《城镇燃气技术规范》GB50094-2009</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3.《建筑设计防火规范》GB50016-2014</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4.《建筑物防雷设计规范》GB50057-2010</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5</w:t>
      </w:r>
      <w:r>
        <w:rPr>
          <w:rFonts w:ascii="宋体" w:hAnsi="宋体"/>
          <w:color w:val="000000" w:themeColor="text1"/>
          <w:sz w:val="24"/>
        </w:rPr>
        <w:t>.</w:t>
      </w:r>
      <w:r>
        <w:rPr>
          <w:rFonts w:hint="eastAsia" w:ascii="宋体" w:hAnsi="宋体"/>
          <w:color w:val="000000" w:themeColor="text1"/>
          <w:sz w:val="24"/>
        </w:rPr>
        <w:t>《建筑物防雷工程施工及质量验收规范》</w:t>
      </w:r>
      <w:r>
        <w:rPr>
          <w:rFonts w:ascii="宋体" w:hAnsi="宋体"/>
          <w:color w:val="000000" w:themeColor="text1"/>
          <w:sz w:val="24"/>
        </w:rPr>
        <w:t>GB50601-2010</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6.《压力管道规范工业管道》</w:t>
      </w:r>
      <w:r>
        <w:rPr>
          <w:rFonts w:ascii="宋体" w:hAnsi="宋体"/>
          <w:color w:val="000000" w:themeColor="text1"/>
          <w:sz w:val="24"/>
        </w:rPr>
        <w:t>GB/T20801.1~20801.6-2006</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7.《现场设备、工业管道焊接工程施工规范》GB50236-2011</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8.《输送流体用无缝钢管》GB/T8163-2008</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9.《低压流体输送用焊接钢管》GB/T3091-2008</w:t>
      </w:r>
    </w:p>
    <w:p>
      <w:pPr>
        <w:autoSpaceDE w:val="0"/>
        <w:autoSpaceDN w:val="0"/>
        <w:adjustRightInd w:val="0"/>
        <w:spacing w:line="360" w:lineRule="auto"/>
        <w:ind w:firstLine="480" w:firstLineChars="200"/>
        <w:jc w:val="left"/>
        <w:rPr>
          <w:rFonts w:ascii="宋体" w:hAnsi="宋体"/>
          <w:color w:val="000000" w:themeColor="text1"/>
          <w:sz w:val="24"/>
        </w:rPr>
      </w:pPr>
      <w:r>
        <w:rPr>
          <w:rFonts w:hint="eastAsia" w:ascii="宋体" w:hAnsi="宋体"/>
          <w:color w:val="000000" w:themeColor="text1"/>
          <w:sz w:val="24"/>
        </w:rPr>
        <w:t>10.《埋地钢制管道聚乙烯防腐层》GB/T23257-2009</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11.《钢制对焊无缝管件》GB/T12459-2005</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12.《燃气用埋地聚乙烯（PE）管道系统 第1部分：管材》GB15558.1-2015</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13.《燃气用埋地聚乙烯（PE）管道系统 第2部分：管件》GB15558.2-2005</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14.《燃气用埋地聚乙烯（PE）管道系统 第3部分：阀门》GB15558.3-2008</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15.《城镇燃气调压器》GB27790-2011</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16.《城镇燃气调压箱》GB27791-2011</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17.《无损检测 金属管道熔化焊环向对接接头射线照相检测方法》GB/T12605-2008</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18</w:t>
      </w:r>
      <w:r>
        <w:rPr>
          <w:rFonts w:ascii="宋体" w:hAnsi="宋体"/>
          <w:color w:val="000000" w:themeColor="text1"/>
          <w:sz w:val="24"/>
        </w:rPr>
        <w:t>.</w:t>
      </w:r>
      <w:r>
        <w:rPr>
          <w:rFonts w:hint="eastAsia" w:ascii="宋体" w:hAnsi="宋体"/>
          <w:color w:val="000000" w:themeColor="text1"/>
          <w:sz w:val="24"/>
        </w:rPr>
        <w:t>《城镇燃气埋地钢制管道腐蚀控制技术规程》</w:t>
      </w:r>
      <w:r>
        <w:rPr>
          <w:rFonts w:ascii="宋体" w:hAnsi="宋体"/>
          <w:color w:val="000000" w:themeColor="text1"/>
          <w:sz w:val="24"/>
        </w:rPr>
        <w:t>CJJ95-2013</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19.《聚乙烯燃气管道工程技术规程》</w:t>
      </w:r>
      <w:r>
        <w:rPr>
          <w:rFonts w:ascii="宋体" w:hAnsi="宋体"/>
          <w:color w:val="000000" w:themeColor="text1"/>
          <w:sz w:val="24"/>
        </w:rPr>
        <w:t>CJJ63-2008</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20.《膜式燃气表》</w:t>
      </w:r>
      <w:r>
        <w:rPr>
          <w:rFonts w:ascii="宋体" w:hAnsi="宋体"/>
          <w:color w:val="000000" w:themeColor="text1"/>
          <w:sz w:val="24"/>
        </w:rPr>
        <w:t>GB/T6968-2011</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21.《建筑用手动燃气阀门》</w:t>
      </w:r>
      <w:r>
        <w:rPr>
          <w:rFonts w:ascii="宋体" w:hAnsi="宋体"/>
          <w:color w:val="000000" w:themeColor="text1"/>
          <w:sz w:val="24"/>
        </w:rPr>
        <w:t>CJ/T180-2014</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22.《电磁式燃气紧急切断阀》</w:t>
      </w:r>
      <w:r>
        <w:rPr>
          <w:rFonts w:ascii="宋体" w:hAnsi="宋体"/>
          <w:color w:val="000000" w:themeColor="text1"/>
          <w:sz w:val="24"/>
        </w:rPr>
        <w:t>CJ/T394-2012</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23.《集成电路（</w:t>
      </w:r>
      <w:r>
        <w:rPr>
          <w:rFonts w:ascii="宋体" w:hAnsi="宋体"/>
          <w:color w:val="000000" w:themeColor="text1"/>
          <w:sz w:val="24"/>
        </w:rPr>
        <w:t>IC</w:t>
      </w:r>
      <w:r>
        <w:rPr>
          <w:rFonts w:hint="eastAsia" w:ascii="宋体" w:hAnsi="宋体"/>
          <w:color w:val="000000" w:themeColor="text1"/>
          <w:sz w:val="24"/>
        </w:rPr>
        <w:t>）卡燃气流量计》</w:t>
      </w:r>
      <w:r>
        <w:rPr>
          <w:rFonts w:ascii="宋体" w:hAnsi="宋体"/>
          <w:color w:val="000000" w:themeColor="text1"/>
          <w:sz w:val="24"/>
        </w:rPr>
        <w:t>CJ/T334-2010</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24.《钢制管法兰、垫片、紧固件》</w:t>
      </w:r>
      <w:r>
        <w:rPr>
          <w:rFonts w:ascii="宋体" w:hAnsi="宋体"/>
          <w:color w:val="000000" w:themeColor="text1"/>
          <w:sz w:val="24"/>
        </w:rPr>
        <w:t>HG/T20592~20635-2009</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25.《波纹金属软管通用技术条件》</w:t>
      </w:r>
      <w:r>
        <w:rPr>
          <w:rFonts w:ascii="宋体" w:hAnsi="宋体"/>
          <w:color w:val="000000" w:themeColor="text1"/>
          <w:sz w:val="24"/>
        </w:rPr>
        <w:t>GB/T14525-2010</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26.《可燃气体报警控制器》</w:t>
      </w:r>
      <w:r>
        <w:rPr>
          <w:rFonts w:ascii="宋体" w:hAnsi="宋体"/>
          <w:color w:val="000000" w:themeColor="text1"/>
          <w:sz w:val="24"/>
        </w:rPr>
        <w:t>GB16808-2008</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27.《可燃气体探测器》</w:t>
      </w:r>
      <w:r>
        <w:rPr>
          <w:rFonts w:ascii="宋体" w:hAnsi="宋体"/>
          <w:color w:val="000000" w:themeColor="text1"/>
          <w:sz w:val="24"/>
        </w:rPr>
        <w:t>GB15322-2003</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28.《城镇燃气报警控制系统技术规程》</w:t>
      </w:r>
      <w:r>
        <w:rPr>
          <w:rFonts w:ascii="宋体" w:hAnsi="宋体"/>
          <w:color w:val="000000" w:themeColor="text1"/>
          <w:sz w:val="24"/>
        </w:rPr>
        <w:t>CJJ/T146-2011</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29.</w:t>
      </w:r>
      <w:r>
        <w:rPr>
          <w:rFonts w:ascii="System" w:eastAsia="System" w:cs="System"/>
          <w:color w:val="000000" w:themeColor="text1"/>
          <w:kern w:val="0"/>
          <w:sz w:val="24"/>
        </w:rPr>
        <w:t>.</w:t>
      </w:r>
      <w:r>
        <w:rPr>
          <w:rFonts w:hint="eastAsia" w:ascii="宋体" w:hAnsi="宋体"/>
          <w:color w:val="000000" w:themeColor="text1"/>
          <w:sz w:val="24"/>
        </w:rPr>
        <w:t>《工业金属管道工程施工规范》</w:t>
      </w:r>
      <w:r>
        <w:rPr>
          <w:rFonts w:ascii="宋体" w:hAnsi="宋体"/>
          <w:color w:val="000000" w:themeColor="text1"/>
          <w:sz w:val="24"/>
        </w:rPr>
        <w:t>GB50235-2010</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30.《城镇燃气防雷技术规范》</w:t>
      </w:r>
      <w:r>
        <w:rPr>
          <w:rFonts w:ascii="宋体" w:hAnsi="宋体"/>
          <w:color w:val="000000" w:themeColor="text1"/>
          <w:sz w:val="24"/>
        </w:rPr>
        <w:t>QX/T109-2009</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31.《珠海市燃气管理办法》珠海市人民政府令第</w:t>
      </w:r>
      <w:r>
        <w:rPr>
          <w:rFonts w:ascii="宋体" w:hAnsi="宋体"/>
          <w:color w:val="000000" w:themeColor="text1"/>
          <w:sz w:val="24"/>
        </w:rPr>
        <w:t>85</w:t>
      </w:r>
      <w:r>
        <w:rPr>
          <w:rFonts w:hint="eastAsia" w:ascii="宋体" w:hAnsi="宋体"/>
          <w:color w:val="000000" w:themeColor="text1"/>
          <w:sz w:val="24"/>
        </w:rPr>
        <w:t>号</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32.《珠海市庭院及室内燃气管道工程技术指引》</w:t>
      </w:r>
    </w:p>
    <w:p>
      <w:pPr>
        <w:pStyle w:val="3"/>
        <w:rPr>
          <w:color w:val="000000" w:themeColor="text1"/>
        </w:rPr>
      </w:pPr>
      <w:bookmarkStart w:id="90" w:name="_Toc515980418"/>
      <w:r>
        <w:rPr>
          <w:rFonts w:hint="eastAsia"/>
          <w:color w:val="000000" w:themeColor="text1"/>
        </w:rPr>
        <w:t>10.2 设计内容及参数</w:t>
      </w:r>
      <w:bookmarkEnd w:id="90"/>
    </w:p>
    <w:p>
      <w:pPr>
        <w:pStyle w:val="60"/>
        <w:spacing w:before="156" w:after="156"/>
        <w:ind w:firstLine="0" w:firstLineChars="0"/>
        <w:rPr>
          <w:rFonts w:ascii="Times New Roman" w:hAnsi="Times New Roman"/>
          <w:color w:val="000000" w:themeColor="text1"/>
        </w:rPr>
      </w:pPr>
      <w:r>
        <w:rPr>
          <w:rFonts w:hint="eastAsia" w:ascii="Times New Roman" w:hAnsi="Times New Roman"/>
          <w:color w:val="000000" w:themeColor="text1"/>
        </w:rPr>
        <w:t>1.本工程接驳市政天然气管道，为</w:t>
      </w:r>
      <w:r>
        <w:rPr>
          <w:rFonts w:hint="eastAsia"/>
          <w:szCs w:val="28"/>
        </w:rPr>
        <w:t>珠海</w:t>
      </w:r>
      <w:r>
        <w:rPr>
          <w:rFonts w:hint="eastAsia" w:ascii="Times New Roman" w:hAnsi="Times New Roman"/>
          <w:color w:val="000000" w:themeColor="text1"/>
        </w:rPr>
        <w:t>汇华实验学校食堂燃气管道工程。</w:t>
      </w:r>
    </w:p>
    <w:p>
      <w:pPr>
        <w:pStyle w:val="60"/>
        <w:spacing w:before="156" w:after="156"/>
        <w:ind w:firstLine="0" w:firstLineChars="0"/>
        <w:rPr>
          <w:rFonts w:ascii="Times New Roman" w:hAnsi="Times New Roman"/>
          <w:color w:val="000000" w:themeColor="text1"/>
        </w:rPr>
      </w:pPr>
      <w:r>
        <w:rPr>
          <w:rFonts w:hint="eastAsia" w:ascii="Times New Roman" w:hAnsi="Times New Roman"/>
          <w:color w:val="000000" w:themeColor="text1"/>
        </w:rPr>
        <w:t>2.本设计内容：调压箱、中压庭院燃气管道及室内低压燃气管道。</w:t>
      </w:r>
    </w:p>
    <w:p>
      <w:pPr>
        <w:pStyle w:val="60"/>
        <w:spacing w:before="156" w:after="156"/>
        <w:ind w:firstLine="0" w:firstLineChars="0"/>
        <w:rPr>
          <w:rFonts w:ascii="Times New Roman" w:hAnsi="Times New Roman"/>
          <w:color w:val="000000" w:themeColor="text1"/>
        </w:rPr>
      </w:pPr>
      <w:r>
        <w:rPr>
          <w:rFonts w:hint="eastAsia" w:ascii="Times New Roman" w:hAnsi="Times New Roman"/>
          <w:color w:val="000000" w:themeColor="text1"/>
        </w:rPr>
        <w:t xml:space="preserve">   3.本工程中压燃气管道的设计压力为0.4M</w:t>
      </w:r>
      <w:r>
        <w:rPr>
          <w:rFonts w:ascii="Times New Roman" w:hAnsi="Times New Roman"/>
          <w:color w:val="000000" w:themeColor="text1"/>
        </w:rPr>
        <w:t>p</w:t>
      </w:r>
      <w:r>
        <w:rPr>
          <w:rFonts w:hint="eastAsia" w:ascii="Times New Roman" w:hAnsi="Times New Roman"/>
          <w:color w:val="000000" w:themeColor="text1"/>
        </w:rPr>
        <w:t>a，低压燃气管道的设计压力为9kPa。用气量如下：</w:t>
      </w:r>
    </w:p>
    <w:tbl>
      <w:tblPr>
        <w:tblStyle w:val="20"/>
        <w:tblW w:w="924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81"/>
        <w:gridCol w:w="3081"/>
        <w:gridCol w:w="308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灶具类型</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数量</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流量（m³/h）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双头矮仔炉</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1台</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单炒大锅炉</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1台</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单头大锅炉</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2台</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蒸饭柜</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1台</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海鲜蒸柜</w:t>
            </w:r>
          </w:p>
        </w:tc>
        <w:tc>
          <w:tcPr>
            <w:tcW w:w="3081"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1台</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162" w:type="dxa"/>
            <w:gridSpan w:val="2"/>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合计</w:t>
            </w:r>
          </w:p>
        </w:tc>
        <w:tc>
          <w:tcPr>
            <w:tcW w:w="3082" w:type="dxa"/>
          </w:tcPr>
          <w:p>
            <w:pPr>
              <w:pStyle w:val="60"/>
              <w:spacing w:before="156" w:after="156"/>
              <w:ind w:firstLine="0" w:firstLineChars="0"/>
              <w:jc w:val="center"/>
              <w:rPr>
                <w:rFonts w:ascii="Times New Roman" w:hAnsi="Times New Roman"/>
                <w:color w:val="000000" w:themeColor="text1"/>
              </w:rPr>
            </w:pPr>
            <w:r>
              <w:rPr>
                <w:rFonts w:hint="eastAsia" w:ascii="Times New Roman" w:hAnsi="Times New Roman"/>
                <w:color w:val="000000" w:themeColor="text1"/>
              </w:rPr>
              <w:t>44</w:t>
            </w:r>
          </w:p>
        </w:tc>
      </w:tr>
    </w:tbl>
    <w:p>
      <w:pPr>
        <w:pStyle w:val="3"/>
        <w:rPr>
          <w:color w:val="000000" w:themeColor="text1"/>
        </w:rPr>
      </w:pPr>
      <w:bookmarkStart w:id="91" w:name="_Toc515980419"/>
      <w:r>
        <w:rPr>
          <w:rFonts w:hint="eastAsia"/>
          <w:color w:val="000000" w:themeColor="text1"/>
        </w:rPr>
        <w:t>10.3 施工要求</w:t>
      </w:r>
      <w:bookmarkEnd w:id="91"/>
    </w:p>
    <w:p>
      <w:pPr>
        <w:spacing w:line="360" w:lineRule="auto"/>
        <w:ind w:firstLine="480" w:firstLineChars="200"/>
        <w:rPr>
          <w:rFonts w:cs="Arial"/>
          <w:color w:val="000000" w:themeColor="text1"/>
          <w:sz w:val="24"/>
          <w:szCs w:val="22"/>
        </w:rPr>
      </w:pPr>
      <w:r>
        <w:rPr>
          <w:rFonts w:hint="eastAsia" w:cs="Arial"/>
          <w:color w:val="000000" w:themeColor="text1"/>
          <w:sz w:val="24"/>
          <w:szCs w:val="22"/>
        </w:rPr>
        <w:t>1. 本工程材料、设备应有齐全的技术资料（出厂合格证或质量证明书），无出厂合格证或质量证明书的材料、设备严禁使用。</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2.管道：</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埋地中压管道选用PE100级配料、SDR11系列PE管，管材符合GB15558.1-2015要求。钢制管道采用无缝钢管选用符合GB/T8163-2008的20钢。金属软管选用符合GB/T14525-2010的波纹金属软管。</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3.管件：</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PE管件选用PE100级配料管件，管件符合 GB15558.2-2005要求。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钢制管件选用钢制对焊无缝管件,管件符合GB/T12459-2005要求。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4.阀门：</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PE阀门选用双放散PE100级配料阀门，阀门符合 GB15558.3-2008要求。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紧急切断阀选用电磁式紧急切断阀，阀门符合 CJ/T394-2012要求。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其余阀门符合 CJ/T180-2014要求。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5.PE管道施工要求：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（1）PE管道采用热熔连接。热熔连接的焊接接头连接完成后，应进行100%的翻边对称性、接头对正性检验和不少于10%的翻边切除检验。</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（2）PE管道与PE管件之间的连接采用电熔连接。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3）PE管道与钢制管道之间的连接采用钢塑转换接头，钢塑转换在地下实现。钢塑转换接头金属端与钢管焊接时，过渡接头金属端应采取降温措施，但不得影响焊接接头的的力学性能。钢塑转换接头钢管侧及埋地钢管采用聚乙烯胶粘带特加强级防腐。一层底漆——一层内带（搭接为胶带宽度的50%~55%）——一层外带（搭接为胶带宽度的50%~55%）且防腐层总厚度≥1.4mm。</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（4）PE管允许弯曲半径不应小于25倍公称直径；当弯曲管段上有承插管件时,管道允许弯曲半径不应小于125倍公称直径。</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（5）PE管土方工程应符合CJJ33-2005第2章的规定。管沟底必须是平整的实土层,并在沟底填充150mm厚干河砂。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（6）管道连接应在沟边进行，连接结束后，应进行接头外观检查，合格后下沟，下沟时应避免擦伤、扭曲或过大的拉力和弯力。</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（7）管道回填应在管道吹扫和压力试验合格后进行，管顶0.3米内全部回填河砂，并加设混凝土盖板，燃气警示带固定于盖板之上，回填土应分层人工夯实。</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8）庭院管道的平面转向、三通、四通、起止点、钢塑转换接头等处上方地面上需埋设相应标志桩。管道直线段应每隔20m设置标志桩。敷设在人行道、车行道时，标志桩应与路面平齐；敷设在绿化带时，标志桩应高出周围地面100mm，并准确牢靠。</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（9）对于埋地中压PE管，根据珠海土质及地温情况，其埋深（地表至管顶）应不小于0.9m。</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6.钢制管道施工要求：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（1）大于DN50的钢制管道与阀门或设备连接时采用法兰连接，其余采用螺纹连接。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（2）钢制管道之间采用焊接连接。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（3）钢制燃气管道穿墙、楼板时应加钢套管保护，套管与燃气接管道之间用沥青油麻密封。</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（4）焊缝按照下表规定进行检测：</w:t>
      </w:r>
    </w:p>
    <w:tbl>
      <w:tblPr>
        <w:tblStyle w:val="20"/>
        <w:tblW w:w="9924"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66"/>
        <w:gridCol w:w="1237"/>
        <w:gridCol w:w="2461"/>
        <w:gridCol w:w="1225"/>
        <w:gridCol w:w="28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66" w:type="dxa"/>
            <w:vMerge w:val="restart"/>
          </w:tcPr>
          <w:p>
            <w:pPr>
              <w:spacing w:line="360" w:lineRule="auto"/>
              <w:jc w:val="center"/>
              <w:rPr>
                <w:rFonts w:cs="Arial"/>
                <w:color w:val="000000" w:themeColor="text1"/>
                <w:sz w:val="24"/>
                <w:szCs w:val="22"/>
              </w:rPr>
            </w:pPr>
            <w:r>
              <w:rPr>
                <w:rFonts w:hint="eastAsia" w:cs="Arial"/>
                <w:color w:val="000000" w:themeColor="text1"/>
                <w:sz w:val="24"/>
                <w:szCs w:val="22"/>
              </w:rPr>
              <w:t>检测部位</w:t>
            </w:r>
          </w:p>
        </w:tc>
        <w:tc>
          <w:tcPr>
            <w:tcW w:w="3698" w:type="dxa"/>
            <w:gridSpan w:val="2"/>
          </w:tcPr>
          <w:p>
            <w:pPr>
              <w:spacing w:line="360" w:lineRule="auto"/>
              <w:jc w:val="center"/>
              <w:rPr>
                <w:rFonts w:cs="Arial"/>
                <w:color w:val="000000" w:themeColor="text1"/>
                <w:sz w:val="24"/>
                <w:szCs w:val="22"/>
              </w:rPr>
            </w:pPr>
            <w:r>
              <w:rPr>
                <w:rFonts w:hint="eastAsia" w:cs="Arial"/>
                <w:color w:val="000000" w:themeColor="text1"/>
                <w:sz w:val="24"/>
                <w:szCs w:val="22"/>
              </w:rPr>
              <w:t>外部质量检测</w:t>
            </w:r>
          </w:p>
        </w:tc>
        <w:tc>
          <w:tcPr>
            <w:tcW w:w="4060" w:type="dxa"/>
            <w:gridSpan w:val="2"/>
          </w:tcPr>
          <w:p>
            <w:pPr>
              <w:spacing w:line="360" w:lineRule="auto"/>
              <w:jc w:val="center"/>
              <w:rPr>
                <w:rFonts w:cs="Arial"/>
                <w:color w:val="000000" w:themeColor="text1"/>
                <w:sz w:val="24"/>
                <w:szCs w:val="22"/>
              </w:rPr>
            </w:pPr>
            <w:r>
              <w:rPr>
                <w:rFonts w:hint="eastAsia" w:cs="Arial"/>
                <w:color w:val="000000" w:themeColor="text1"/>
                <w:sz w:val="24"/>
                <w:szCs w:val="22"/>
              </w:rPr>
              <w:t>内部质量检测（射线检测）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66" w:type="dxa"/>
            <w:vMerge w:val="continue"/>
          </w:tcPr>
          <w:p>
            <w:pPr>
              <w:spacing w:line="360" w:lineRule="auto"/>
              <w:jc w:val="center"/>
              <w:rPr>
                <w:rFonts w:cs="Arial"/>
                <w:color w:val="000000" w:themeColor="text1"/>
                <w:sz w:val="24"/>
                <w:szCs w:val="22"/>
              </w:rPr>
            </w:pPr>
          </w:p>
        </w:tc>
        <w:tc>
          <w:tcPr>
            <w:tcW w:w="1237" w:type="dxa"/>
          </w:tcPr>
          <w:p>
            <w:pPr>
              <w:spacing w:line="360" w:lineRule="auto"/>
              <w:jc w:val="center"/>
              <w:rPr>
                <w:rFonts w:cs="Arial"/>
                <w:color w:val="000000" w:themeColor="text1"/>
                <w:sz w:val="24"/>
                <w:szCs w:val="22"/>
              </w:rPr>
            </w:pPr>
            <w:r>
              <w:rPr>
                <w:rFonts w:hint="eastAsia" w:cs="Arial"/>
                <w:color w:val="000000" w:themeColor="text1"/>
                <w:sz w:val="24"/>
                <w:szCs w:val="22"/>
              </w:rPr>
              <w:t>检测比例</w:t>
            </w:r>
          </w:p>
        </w:tc>
        <w:tc>
          <w:tcPr>
            <w:tcW w:w="2461" w:type="dxa"/>
          </w:tcPr>
          <w:p>
            <w:pPr>
              <w:spacing w:line="360" w:lineRule="auto"/>
              <w:jc w:val="center"/>
              <w:rPr>
                <w:rFonts w:cs="Arial"/>
                <w:color w:val="000000" w:themeColor="text1"/>
                <w:sz w:val="24"/>
                <w:szCs w:val="22"/>
              </w:rPr>
            </w:pPr>
            <w:r>
              <w:rPr>
                <w:rFonts w:hint="eastAsia" w:cs="Arial"/>
                <w:color w:val="000000" w:themeColor="text1"/>
                <w:sz w:val="24"/>
                <w:szCs w:val="22"/>
              </w:rPr>
              <w:t>执行标准</w:t>
            </w:r>
          </w:p>
        </w:tc>
        <w:tc>
          <w:tcPr>
            <w:tcW w:w="1225" w:type="dxa"/>
          </w:tcPr>
          <w:p>
            <w:pPr>
              <w:spacing w:line="360" w:lineRule="auto"/>
              <w:jc w:val="center"/>
              <w:rPr>
                <w:rFonts w:cs="Arial"/>
                <w:color w:val="000000" w:themeColor="text1"/>
                <w:sz w:val="24"/>
                <w:szCs w:val="22"/>
              </w:rPr>
            </w:pPr>
            <w:r>
              <w:rPr>
                <w:rFonts w:hint="eastAsia" w:cs="Arial"/>
                <w:color w:val="000000" w:themeColor="text1"/>
                <w:sz w:val="24"/>
                <w:szCs w:val="22"/>
              </w:rPr>
              <w:t>检测比例</w:t>
            </w:r>
          </w:p>
        </w:tc>
        <w:tc>
          <w:tcPr>
            <w:tcW w:w="2835" w:type="dxa"/>
          </w:tcPr>
          <w:p>
            <w:pPr>
              <w:spacing w:line="360" w:lineRule="auto"/>
              <w:jc w:val="center"/>
              <w:rPr>
                <w:rFonts w:cs="Arial"/>
                <w:color w:val="000000" w:themeColor="text1"/>
                <w:sz w:val="24"/>
                <w:szCs w:val="22"/>
              </w:rPr>
            </w:pPr>
            <w:r>
              <w:rPr>
                <w:rFonts w:hint="eastAsia" w:cs="Arial"/>
                <w:color w:val="000000" w:themeColor="text1"/>
                <w:sz w:val="24"/>
                <w:szCs w:val="22"/>
              </w:rPr>
              <w:t>执行标准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2" w:hRule="atLeast"/>
        </w:trPr>
        <w:tc>
          <w:tcPr>
            <w:tcW w:w="2166" w:type="dxa"/>
          </w:tcPr>
          <w:p>
            <w:pPr>
              <w:spacing w:line="360" w:lineRule="auto"/>
              <w:jc w:val="center"/>
              <w:rPr>
                <w:rFonts w:cs="Arial"/>
                <w:color w:val="000000" w:themeColor="text1"/>
                <w:sz w:val="24"/>
                <w:szCs w:val="22"/>
              </w:rPr>
            </w:pPr>
            <w:r>
              <w:rPr>
                <w:rFonts w:hint="eastAsia" w:cs="Arial"/>
                <w:color w:val="000000" w:themeColor="text1"/>
                <w:sz w:val="24"/>
                <w:szCs w:val="22"/>
              </w:rPr>
              <w:t>室外燃气管道中套管内管段焊缝</w:t>
            </w:r>
          </w:p>
        </w:tc>
        <w:tc>
          <w:tcPr>
            <w:tcW w:w="1237" w:type="dxa"/>
          </w:tcPr>
          <w:p>
            <w:pPr>
              <w:spacing w:line="360" w:lineRule="auto"/>
              <w:jc w:val="center"/>
              <w:rPr>
                <w:rFonts w:cs="Arial"/>
                <w:color w:val="000000" w:themeColor="text1"/>
                <w:sz w:val="24"/>
                <w:szCs w:val="22"/>
              </w:rPr>
            </w:pPr>
            <w:r>
              <w:rPr>
                <w:rFonts w:hint="eastAsia" w:cs="Arial"/>
                <w:color w:val="000000" w:themeColor="text1"/>
                <w:sz w:val="24"/>
                <w:szCs w:val="22"/>
              </w:rPr>
              <w:t>100%</w:t>
            </w:r>
          </w:p>
        </w:tc>
        <w:tc>
          <w:tcPr>
            <w:tcW w:w="2461" w:type="dxa"/>
          </w:tcPr>
          <w:p>
            <w:pPr>
              <w:spacing w:line="360" w:lineRule="auto"/>
              <w:jc w:val="center"/>
              <w:rPr>
                <w:rFonts w:cs="Arial"/>
                <w:color w:val="000000" w:themeColor="text1"/>
                <w:sz w:val="24"/>
                <w:szCs w:val="22"/>
              </w:rPr>
            </w:pPr>
            <w:r>
              <w:rPr>
                <w:rFonts w:hint="eastAsia" w:cs="Arial"/>
                <w:color w:val="000000" w:themeColor="text1"/>
                <w:sz w:val="24"/>
                <w:szCs w:val="22"/>
              </w:rPr>
              <w:t>Ⅰ级，GB 50683-2011</w:t>
            </w:r>
          </w:p>
        </w:tc>
        <w:tc>
          <w:tcPr>
            <w:tcW w:w="1225" w:type="dxa"/>
          </w:tcPr>
          <w:p>
            <w:pPr>
              <w:jc w:val="center"/>
              <w:rPr>
                <w:color w:val="000000" w:themeColor="text1"/>
              </w:rPr>
            </w:pPr>
            <w:r>
              <w:rPr>
                <w:rFonts w:hint="eastAsia" w:cs="Arial"/>
                <w:color w:val="000000" w:themeColor="text1"/>
                <w:sz w:val="24"/>
                <w:szCs w:val="22"/>
              </w:rPr>
              <w:t>100%</w:t>
            </w:r>
          </w:p>
        </w:tc>
        <w:tc>
          <w:tcPr>
            <w:tcW w:w="2835" w:type="dxa"/>
          </w:tcPr>
          <w:p>
            <w:pPr>
              <w:spacing w:line="360" w:lineRule="auto"/>
              <w:jc w:val="center"/>
              <w:rPr>
                <w:rFonts w:cs="Arial"/>
                <w:color w:val="000000" w:themeColor="text1"/>
                <w:sz w:val="24"/>
                <w:szCs w:val="22"/>
              </w:rPr>
            </w:pPr>
            <w:r>
              <w:rPr>
                <w:rFonts w:hint="eastAsia" w:cs="Arial"/>
                <w:color w:val="000000" w:themeColor="text1"/>
                <w:sz w:val="24"/>
                <w:szCs w:val="22"/>
              </w:rPr>
              <w:t>Ⅱ级，GB/T12605-2008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66" w:type="dxa"/>
          </w:tcPr>
          <w:p>
            <w:pPr>
              <w:spacing w:line="360" w:lineRule="auto"/>
              <w:jc w:val="center"/>
              <w:rPr>
                <w:rFonts w:cs="Arial"/>
                <w:color w:val="000000" w:themeColor="text1"/>
                <w:sz w:val="24"/>
                <w:szCs w:val="22"/>
              </w:rPr>
            </w:pPr>
            <w:r>
              <w:rPr>
                <w:rFonts w:hint="eastAsia" w:cs="Arial"/>
                <w:color w:val="000000" w:themeColor="text1"/>
                <w:sz w:val="24"/>
                <w:szCs w:val="22"/>
              </w:rPr>
              <w:t>室外燃气管道其余焊缝</w:t>
            </w:r>
          </w:p>
        </w:tc>
        <w:tc>
          <w:tcPr>
            <w:tcW w:w="1237" w:type="dxa"/>
          </w:tcPr>
          <w:p>
            <w:pPr>
              <w:spacing w:line="360" w:lineRule="auto"/>
              <w:jc w:val="center"/>
              <w:rPr>
                <w:rFonts w:cs="Arial"/>
                <w:color w:val="000000" w:themeColor="text1"/>
                <w:sz w:val="24"/>
                <w:szCs w:val="22"/>
              </w:rPr>
            </w:pPr>
            <w:r>
              <w:rPr>
                <w:rFonts w:hint="eastAsia" w:cs="Arial"/>
                <w:color w:val="000000" w:themeColor="text1"/>
                <w:sz w:val="24"/>
                <w:szCs w:val="22"/>
              </w:rPr>
              <w:t>100%</w:t>
            </w:r>
          </w:p>
        </w:tc>
        <w:tc>
          <w:tcPr>
            <w:tcW w:w="2461" w:type="dxa"/>
          </w:tcPr>
          <w:p>
            <w:pPr>
              <w:spacing w:line="360" w:lineRule="auto"/>
              <w:jc w:val="center"/>
              <w:rPr>
                <w:rFonts w:cs="Arial"/>
                <w:color w:val="000000" w:themeColor="text1"/>
                <w:sz w:val="24"/>
                <w:szCs w:val="22"/>
              </w:rPr>
            </w:pPr>
            <w:r>
              <w:rPr>
                <w:rFonts w:hint="eastAsia" w:cs="Arial"/>
                <w:color w:val="000000" w:themeColor="text1"/>
                <w:sz w:val="24"/>
                <w:szCs w:val="22"/>
              </w:rPr>
              <w:t>Ⅲ级，GB 50683-2011</w:t>
            </w:r>
          </w:p>
        </w:tc>
        <w:tc>
          <w:tcPr>
            <w:tcW w:w="1225" w:type="dxa"/>
          </w:tcPr>
          <w:p>
            <w:pPr>
              <w:jc w:val="center"/>
              <w:rPr>
                <w:color w:val="000000" w:themeColor="text1"/>
              </w:rPr>
            </w:pPr>
            <w:r>
              <w:rPr>
                <w:rFonts w:hint="eastAsia" w:cs="Arial"/>
                <w:color w:val="000000" w:themeColor="text1"/>
                <w:sz w:val="24"/>
                <w:szCs w:val="22"/>
              </w:rPr>
              <w:t>15%</w:t>
            </w:r>
          </w:p>
        </w:tc>
        <w:tc>
          <w:tcPr>
            <w:tcW w:w="2835" w:type="dxa"/>
          </w:tcPr>
          <w:p>
            <w:pPr>
              <w:spacing w:line="360" w:lineRule="auto"/>
              <w:jc w:val="center"/>
              <w:rPr>
                <w:rFonts w:cs="Arial"/>
                <w:color w:val="000000" w:themeColor="text1"/>
                <w:sz w:val="24"/>
                <w:szCs w:val="22"/>
              </w:rPr>
            </w:pPr>
            <w:r>
              <w:rPr>
                <w:rFonts w:hint="eastAsia" w:cs="Arial"/>
                <w:color w:val="000000" w:themeColor="text1"/>
                <w:sz w:val="24"/>
                <w:szCs w:val="22"/>
              </w:rPr>
              <w:t>Ⅲ级，GB/T12605-2008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66" w:type="dxa"/>
          </w:tcPr>
          <w:p>
            <w:pPr>
              <w:spacing w:line="360" w:lineRule="auto"/>
              <w:jc w:val="center"/>
              <w:rPr>
                <w:rFonts w:cs="Arial"/>
                <w:color w:val="000000" w:themeColor="text1"/>
                <w:sz w:val="24"/>
                <w:szCs w:val="22"/>
              </w:rPr>
            </w:pPr>
            <w:r>
              <w:rPr>
                <w:rFonts w:hint="eastAsia" w:cs="Arial"/>
                <w:color w:val="000000" w:themeColor="text1"/>
                <w:sz w:val="24"/>
                <w:szCs w:val="22"/>
              </w:rPr>
              <w:t>室内燃气管道套管内管段焊缝</w:t>
            </w:r>
          </w:p>
        </w:tc>
        <w:tc>
          <w:tcPr>
            <w:tcW w:w="1237" w:type="dxa"/>
          </w:tcPr>
          <w:p>
            <w:pPr>
              <w:spacing w:line="360" w:lineRule="auto"/>
              <w:jc w:val="center"/>
              <w:rPr>
                <w:rFonts w:cs="Arial"/>
                <w:color w:val="000000" w:themeColor="text1"/>
                <w:sz w:val="24"/>
                <w:szCs w:val="22"/>
              </w:rPr>
            </w:pPr>
            <w:r>
              <w:rPr>
                <w:rFonts w:hint="eastAsia" w:cs="Arial"/>
                <w:color w:val="000000" w:themeColor="text1"/>
                <w:sz w:val="24"/>
                <w:szCs w:val="22"/>
              </w:rPr>
              <w:t>100%</w:t>
            </w:r>
          </w:p>
        </w:tc>
        <w:tc>
          <w:tcPr>
            <w:tcW w:w="2461" w:type="dxa"/>
          </w:tcPr>
          <w:p>
            <w:pPr>
              <w:spacing w:line="360" w:lineRule="auto"/>
              <w:jc w:val="center"/>
              <w:rPr>
                <w:rFonts w:cs="Arial"/>
                <w:color w:val="000000" w:themeColor="text1"/>
                <w:sz w:val="24"/>
                <w:szCs w:val="22"/>
              </w:rPr>
            </w:pPr>
            <w:r>
              <w:rPr>
                <w:rFonts w:hint="eastAsia" w:cs="Arial"/>
                <w:color w:val="000000" w:themeColor="text1"/>
                <w:sz w:val="24"/>
                <w:szCs w:val="22"/>
              </w:rPr>
              <w:t>Ⅰ级，GB 50683-2011</w:t>
            </w:r>
          </w:p>
        </w:tc>
        <w:tc>
          <w:tcPr>
            <w:tcW w:w="1225" w:type="dxa"/>
          </w:tcPr>
          <w:p>
            <w:pPr>
              <w:jc w:val="center"/>
              <w:rPr>
                <w:color w:val="000000" w:themeColor="text1"/>
              </w:rPr>
            </w:pPr>
            <w:r>
              <w:rPr>
                <w:rFonts w:hint="eastAsia" w:cs="Arial"/>
                <w:color w:val="000000" w:themeColor="text1"/>
                <w:sz w:val="24"/>
                <w:szCs w:val="22"/>
              </w:rPr>
              <w:t>100%</w:t>
            </w:r>
          </w:p>
        </w:tc>
        <w:tc>
          <w:tcPr>
            <w:tcW w:w="2835" w:type="dxa"/>
          </w:tcPr>
          <w:p>
            <w:pPr>
              <w:spacing w:line="360" w:lineRule="auto"/>
              <w:jc w:val="center"/>
              <w:rPr>
                <w:rFonts w:cs="Arial"/>
                <w:color w:val="000000" w:themeColor="text1"/>
                <w:sz w:val="24"/>
                <w:szCs w:val="22"/>
              </w:rPr>
            </w:pPr>
            <w:r>
              <w:rPr>
                <w:rFonts w:hint="eastAsia" w:cs="Arial"/>
                <w:color w:val="000000" w:themeColor="text1"/>
                <w:sz w:val="24"/>
                <w:szCs w:val="22"/>
              </w:rPr>
              <w:t>Ⅲ级，GB/T12605-2008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66" w:type="dxa"/>
          </w:tcPr>
          <w:p>
            <w:pPr>
              <w:spacing w:line="360" w:lineRule="auto"/>
              <w:jc w:val="center"/>
              <w:rPr>
                <w:rFonts w:cs="Arial"/>
                <w:color w:val="000000" w:themeColor="text1"/>
                <w:sz w:val="24"/>
                <w:szCs w:val="22"/>
              </w:rPr>
            </w:pPr>
            <w:r>
              <w:rPr>
                <w:rFonts w:hint="eastAsia" w:cs="Arial"/>
                <w:color w:val="000000" w:themeColor="text1"/>
                <w:sz w:val="24"/>
                <w:szCs w:val="22"/>
              </w:rPr>
              <w:t>室内燃气管道其余焊缝</w:t>
            </w:r>
          </w:p>
        </w:tc>
        <w:tc>
          <w:tcPr>
            <w:tcW w:w="1237" w:type="dxa"/>
          </w:tcPr>
          <w:p>
            <w:pPr>
              <w:spacing w:line="360" w:lineRule="auto"/>
              <w:jc w:val="center"/>
              <w:rPr>
                <w:rFonts w:cs="Arial"/>
                <w:color w:val="000000" w:themeColor="text1"/>
                <w:sz w:val="24"/>
                <w:szCs w:val="22"/>
              </w:rPr>
            </w:pPr>
            <w:r>
              <w:rPr>
                <w:rFonts w:hint="eastAsia" w:cs="Arial"/>
                <w:color w:val="000000" w:themeColor="text1"/>
                <w:sz w:val="24"/>
                <w:szCs w:val="22"/>
              </w:rPr>
              <w:t>100%</w:t>
            </w:r>
          </w:p>
        </w:tc>
        <w:tc>
          <w:tcPr>
            <w:tcW w:w="2461" w:type="dxa"/>
          </w:tcPr>
          <w:p>
            <w:pPr>
              <w:spacing w:line="360" w:lineRule="auto"/>
              <w:jc w:val="center"/>
              <w:rPr>
                <w:rFonts w:cs="Arial"/>
                <w:color w:val="000000" w:themeColor="text1"/>
                <w:sz w:val="24"/>
                <w:szCs w:val="22"/>
              </w:rPr>
            </w:pPr>
            <w:r>
              <w:rPr>
                <w:rFonts w:hint="eastAsia" w:cs="Arial"/>
                <w:color w:val="000000" w:themeColor="text1"/>
                <w:sz w:val="24"/>
                <w:szCs w:val="22"/>
              </w:rPr>
              <w:t>Ⅲ级，GB 50683-2011</w:t>
            </w:r>
          </w:p>
        </w:tc>
        <w:tc>
          <w:tcPr>
            <w:tcW w:w="1225" w:type="dxa"/>
          </w:tcPr>
          <w:p>
            <w:pPr>
              <w:jc w:val="center"/>
              <w:rPr>
                <w:color w:val="000000" w:themeColor="text1"/>
              </w:rPr>
            </w:pPr>
            <w:r>
              <w:rPr>
                <w:rFonts w:hint="eastAsia" w:cs="Arial"/>
                <w:color w:val="000000" w:themeColor="text1"/>
                <w:sz w:val="24"/>
                <w:szCs w:val="22"/>
              </w:rPr>
              <w:t>5%</w:t>
            </w:r>
          </w:p>
        </w:tc>
        <w:tc>
          <w:tcPr>
            <w:tcW w:w="2835" w:type="dxa"/>
          </w:tcPr>
          <w:p>
            <w:pPr>
              <w:spacing w:line="360" w:lineRule="auto"/>
              <w:jc w:val="center"/>
              <w:rPr>
                <w:rFonts w:cs="Arial"/>
                <w:color w:val="000000" w:themeColor="text1"/>
                <w:sz w:val="24"/>
                <w:szCs w:val="22"/>
              </w:rPr>
            </w:pPr>
            <w:r>
              <w:rPr>
                <w:rFonts w:hint="eastAsia" w:cs="Arial"/>
                <w:color w:val="000000" w:themeColor="text1"/>
                <w:sz w:val="24"/>
                <w:szCs w:val="22"/>
              </w:rPr>
              <w:t>Ⅲ级，GB/T12605-2008</w:t>
            </w:r>
          </w:p>
        </w:tc>
      </w:tr>
    </w:tbl>
    <w:p>
      <w:pPr>
        <w:spacing w:line="360" w:lineRule="auto"/>
        <w:rPr>
          <w:rFonts w:cs="Arial"/>
          <w:color w:val="000000" w:themeColor="text1"/>
          <w:sz w:val="24"/>
          <w:szCs w:val="22"/>
        </w:rPr>
      </w:pPr>
      <w:r>
        <w:rPr>
          <w:rFonts w:hint="eastAsia" w:cs="Arial"/>
          <w:color w:val="000000" w:themeColor="text1"/>
          <w:sz w:val="24"/>
          <w:szCs w:val="22"/>
        </w:rPr>
        <w:t>（5）沿墙敷设的钢制管道用单支悬臂支架支撑，具体位置现场确定。</w:t>
      </w:r>
    </w:p>
    <w:p>
      <w:pPr>
        <w:spacing w:line="360" w:lineRule="auto"/>
        <w:rPr>
          <w:rFonts w:cs="Arial"/>
          <w:color w:val="000000" w:themeColor="text1"/>
          <w:sz w:val="24"/>
          <w:szCs w:val="22"/>
        </w:rPr>
      </w:pPr>
      <w:r>
        <w:rPr>
          <w:rFonts w:hint="eastAsia" w:cs="Arial"/>
          <w:color w:val="000000" w:themeColor="text1"/>
          <w:sz w:val="24"/>
          <w:szCs w:val="22"/>
        </w:rPr>
        <w:t>（6）燃气钢管出地面加套管保护，套管采用聚乙烯胶粘带特加强级防腐，保护套管伸出地面200mm，埋地250mm。套管和管道之间采用水泥沙浆填实，两端用油麻沥青封堵。</w:t>
      </w:r>
    </w:p>
    <w:p>
      <w:pPr>
        <w:spacing w:line="360" w:lineRule="auto"/>
        <w:rPr>
          <w:rFonts w:cs="Arial"/>
          <w:color w:val="000000" w:themeColor="text1"/>
          <w:sz w:val="24"/>
          <w:szCs w:val="22"/>
        </w:rPr>
      </w:pPr>
      <w:r>
        <w:rPr>
          <w:rFonts w:hint="eastAsia" w:cs="Arial"/>
          <w:color w:val="000000" w:themeColor="text1"/>
          <w:sz w:val="24"/>
          <w:szCs w:val="22"/>
        </w:rPr>
        <w:t>（7）防腐：地上管道、支架等金属构件采用醇酸漆防腐涂料。具体做法：底漆2道，中间漆2道，面漆2道。埋地钢管采用聚乙烯胶粘带特加强级防腐。一层底漆——一层内带（搭接为胶带宽度的50%~55%）——一层外带（搭接为胶带宽度的50%~55%）且防腐层总厚度≥1.4mm。</w:t>
      </w:r>
    </w:p>
    <w:p>
      <w:pPr>
        <w:spacing w:line="360" w:lineRule="auto"/>
        <w:rPr>
          <w:rFonts w:cs="Arial"/>
          <w:color w:val="000000" w:themeColor="text1"/>
          <w:sz w:val="24"/>
          <w:szCs w:val="22"/>
        </w:rPr>
      </w:pPr>
      <w:r>
        <w:rPr>
          <w:rFonts w:hint="eastAsia" w:cs="Arial"/>
          <w:color w:val="000000" w:themeColor="text1"/>
          <w:sz w:val="24"/>
          <w:szCs w:val="22"/>
        </w:rPr>
        <w:t>7.防雷防静电要求</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1.进出民用建筑物的燃气管道的进出口处，室外的立面管、放散管、引入管和燃气设备等处均应与建筑物主体的防雷（静电）系统共用接地装置。</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2.沿外墙敷设的燃气金属管道应每隔不大于12米就近与建筑物防雷装置连接，垂直敷设的金属管道顶端和底端与建筑物的防雷装置可靠连接，应为双面焊接方式；燃气管道的调压计量柜及阀门箱等金属物应与建筑物主体防雷装置做等电位连接。燃气金属管道入户端及末端应与防雷做好等电位连接,材料采用40X4镀锌扁钢搭接施焊，焊接工艺统一采用双面搭接焊，并符合GB50601-2010《建筑物防雷工程施工及质量验收规范》表4.1.2的规定。其冲击接地电阻值应与建筑物同一标准。</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3.管道在法兰、阀门、调压器、管道末端连接的连接材料厚度采用铜质时应不小于2mm，其截面积应不小于50mm</w:t>
      </w:r>
      <w:r>
        <w:rPr>
          <w:rFonts w:hint="eastAsia" w:cs="Arial"/>
          <w:color w:val="000000" w:themeColor="text1"/>
          <w:sz w:val="24"/>
          <w:szCs w:val="22"/>
          <w:vertAlign w:val="superscript"/>
        </w:rPr>
        <w:t>2</w:t>
      </w:r>
      <w:r>
        <w:rPr>
          <w:rFonts w:hint="eastAsia" w:cs="Arial"/>
          <w:color w:val="000000" w:themeColor="text1"/>
          <w:sz w:val="24"/>
          <w:szCs w:val="22"/>
        </w:rPr>
        <w:t>，并应与建筑物主体的防雷防静电系统共用接地装置。</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4.管道、法兰跨接其应按GB50057-2010《建筑物防雷设计规范》第4.3.7条第2款的要求设计。除GB50057-2010《建筑物防雷设计规范》第3.0.3条7款所规定的建筑物外，平行敷设的管道、构架和电缆金属外皮等长金属物应符合GB50057-2010《建筑物防雷设计规范》第4.2.2条第2款的规定，但长金属物连接处可不跨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5.依据GB50057-2010《建筑物防雷设计规范》第4.2.2条第2款中相关规定：平行敷设的管道、构架和电缆金属外皮等长金属物，其净距小于100mm时，应采用金属线跨接，跨接点的间距不应大于30m；交叉净距小于100mm时，其交叉处也应跨接。当长金属物的弯头、阀门、法兰盘等连接处的过渡电阻大于0.03Ω连接处应用金属线跨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6.管道燃气设计的接地电阻值应与主体防雷装置接地电阻值保持一致。依据本工程主体建筑设计接地电阻不大于10Ω，故燃气设计接地电阻不大于10Ω时，连接处应用金属线跨接。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7.燃气管道、设备与防雷装置相连采用圆钢或扁钢，圆钢直径不小于8mm，扁钢面截积不小于48mm，其厚度不小于4mm，优先选用圆钢。</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8.管道上所有法兰连接用铜片跨接，所有螺纹连接过渡电阻大于</w:t>
      </w:r>
      <w:r>
        <w:rPr>
          <w:rFonts w:cs="Arial"/>
          <w:color w:val="000000" w:themeColor="text1"/>
          <w:sz w:val="24"/>
          <w:szCs w:val="22"/>
        </w:rPr>
        <w:t>0.03Ω</w:t>
      </w:r>
      <w:r>
        <w:rPr>
          <w:rFonts w:hint="eastAsia" w:cs="Arial"/>
          <w:color w:val="000000" w:themeColor="text1"/>
          <w:sz w:val="24"/>
          <w:szCs w:val="22"/>
        </w:rPr>
        <w:t>时，用</w:t>
      </w:r>
      <w:r>
        <w:rPr>
          <w:rFonts w:ascii="Cambria Math" w:hAnsi="Cambria Math" w:cs="Cambria Math"/>
          <w:color w:val="000000" w:themeColor="text1"/>
          <w:sz w:val="24"/>
          <w:szCs w:val="22"/>
        </w:rPr>
        <w:t>∅</w:t>
      </w:r>
      <w:r>
        <w:rPr>
          <w:rFonts w:cs="Arial"/>
          <w:color w:val="000000" w:themeColor="text1"/>
          <w:sz w:val="24"/>
          <w:szCs w:val="22"/>
        </w:rPr>
        <w:t>6mm</w:t>
      </w:r>
      <w:r>
        <w:rPr>
          <w:rFonts w:hint="eastAsia" w:cs="Arial"/>
          <w:color w:val="000000" w:themeColor="text1"/>
          <w:sz w:val="24"/>
          <w:szCs w:val="22"/>
        </w:rPr>
        <w:t>铜芯电线跨接。</w:t>
      </w:r>
    </w:p>
    <w:p>
      <w:pPr>
        <w:spacing w:line="360" w:lineRule="auto"/>
        <w:ind w:firstLine="480" w:firstLineChars="200"/>
        <w:rPr>
          <w:rFonts w:cs="Arial"/>
          <w:color w:val="000000" w:themeColor="text1"/>
          <w:sz w:val="24"/>
          <w:szCs w:val="22"/>
        </w:rPr>
      </w:pPr>
      <w:r>
        <w:rPr>
          <w:rFonts w:hint="eastAsia" w:cs="Arial"/>
          <w:color w:val="000000" w:themeColor="text1"/>
          <w:sz w:val="24"/>
          <w:szCs w:val="22"/>
        </w:rPr>
        <w:t>9.埋地金属燃气管道在入户端应与建筑物基础接地装置相连接。</w:t>
      </w:r>
    </w:p>
    <w:p>
      <w:pPr>
        <w:spacing w:line="360" w:lineRule="auto"/>
        <w:ind w:firstLine="480" w:firstLineChars="200"/>
        <w:rPr>
          <w:rFonts w:cs="Arial"/>
          <w:color w:val="FF0000"/>
          <w:sz w:val="24"/>
          <w:szCs w:val="22"/>
        </w:rPr>
      </w:pPr>
      <w:r>
        <w:rPr>
          <w:rFonts w:hint="eastAsia" w:cs="Arial"/>
          <w:color w:val="000000" w:themeColor="text1"/>
          <w:sz w:val="24"/>
          <w:szCs w:val="22"/>
        </w:rPr>
        <w:t>10.本工程无天面管道，无需加装检修阀、阻火器。</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92" w:name="_Toc515980420"/>
      <w:bookmarkStart w:id="93" w:name="_Toc509584569"/>
      <w:bookmarkStart w:id="94" w:name="_Toc509586067"/>
      <w:r>
        <w:rPr>
          <w:rFonts w:hint="eastAsia" w:ascii="宋体" w:hAnsi="宋体"/>
          <w:bCs w:val="0"/>
          <w:kern w:val="2"/>
          <w:sz w:val="36"/>
        </w:rPr>
        <w:t>第十一章  环境保护与安全卫生</w:t>
      </w:r>
      <w:bookmarkEnd w:id="92"/>
      <w:bookmarkEnd w:id="93"/>
      <w:bookmarkEnd w:id="94"/>
    </w:p>
    <w:p>
      <w:pPr>
        <w:pStyle w:val="3"/>
      </w:pPr>
      <w:bookmarkStart w:id="95" w:name="_Toc509586068"/>
      <w:bookmarkStart w:id="96" w:name="_Toc515980421"/>
      <w:r>
        <w:rPr>
          <w:rFonts w:hint="eastAsia"/>
        </w:rPr>
        <w:t>11.1  项目所在地区的环境概况</w:t>
      </w:r>
      <w:bookmarkEnd w:id="95"/>
      <w:bookmarkEnd w:id="96"/>
    </w:p>
    <w:p>
      <w:pPr>
        <w:pStyle w:val="7"/>
        <w:spacing w:line="360" w:lineRule="auto"/>
        <w:rPr>
          <w:rFonts w:ascii="宋体"/>
          <w:sz w:val="24"/>
        </w:rPr>
      </w:pPr>
      <w:r>
        <w:rPr>
          <w:rFonts w:ascii="宋体" w:hAnsi="宋体"/>
          <w:sz w:val="24"/>
        </w:rPr>
        <w:t>1</w:t>
      </w:r>
      <w:r>
        <w:rPr>
          <w:rFonts w:hint="eastAsia" w:ascii="宋体" w:hAnsi="宋体"/>
          <w:sz w:val="24"/>
        </w:rPr>
        <w:t>、生态环境：项目选址附近没有大型的污染源，生态环境良好。</w:t>
      </w:r>
    </w:p>
    <w:p>
      <w:pPr>
        <w:pStyle w:val="7"/>
        <w:spacing w:line="360" w:lineRule="auto"/>
        <w:rPr>
          <w:rFonts w:ascii="宋体"/>
          <w:sz w:val="24"/>
        </w:rPr>
      </w:pPr>
      <w:r>
        <w:rPr>
          <w:rFonts w:ascii="宋体" w:hAnsi="宋体"/>
          <w:sz w:val="24"/>
        </w:rPr>
        <w:t>2</w:t>
      </w:r>
      <w:r>
        <w:rPr>
          <w:rFonts w:hint="eastAsia" w:ascii="宋体" w:hAnsi="宋体"/>
          <w:sz w:val="24"/>
        </w:rPr>
        <w:t>、土壤植被、地质环境：施工期挖掘取土时会破坏现有的场地，造成植被破坏的面积基本上为拟建工程的占地面积，但该项目建成后，将增加绿化面积，不会对施工期间造成的植被破坏产生不良影响。</w:t>
      </w:r>
    </w:p>
    <w:p>
      <w:pPr>
        <w:pStyle w:val="7"/>
        <w:spacing w:line="360" w:lineRule="auto"/>
        <w:rPr>
          <w:rFonts w:ascii="宋体"/>
          <w:sz w:val="24"/>
        </w:rPr>
      </w:pPr>
      <w:r>
        <w:rPr>
          <w:rFonts w:ascii="宋体" w:hAnsi="宋体"/>
          <w:sz w:val="24"/>
        </w:rPr>
        <w:t>3</w:t>
      </w:r>
      <w:r>
        <w:rPr>
          <w:rFonts w:hint="eastAsia" w:ascii="宋体" w:hAnsi="宋体"/>
          <w:sz w:val="24"/>
        </w:rPr>
        <w:t>、社会环境：本区域社会环境基本良好。</w:t>
      </w:r>
    </w:p>
    <w:p>
      <w:pPr>
        <w:pStyle w:val="7"/>
        <w:spacing w:line="360" w:lineRule="auto"/>
        <w:rPr>
          <w:rFonts w:ascii="宋体"/>
          <w:sz w:val="24"/>
        </w:rPr>
      </w:pPr>
      <w:r>
        <w:rPr>
          <w:rFonts w:ascii="宋体" w:hAnsi="宋体"/>
          <w:sz w:val="24"/>
        </w:rPr>
        <w:t>4</w:t>
      </w:r>
      <w:r>
        <w:rPr>
          <w:rFonts w:hint="eastAsia" w:ascii="宋体" w:hAnsi="宋体"/>
          <w:sz w:val="24"/>
        </w:rPr>
        <w:t>、特殊环境：项目周围无名胜古迹、风景区和自然保护区，基本不影响项目实施。</w:t>
      </w:r>
    </w:p>
    <w:p>
      <w:pPr>
        <w:pStyle w:val="3"/>
      </w:pPr>
      <w:bookmarkStart w:id="97" w:name="_Toc509586069"/>
      <w:bookmarkStart w:id="98" w:name="_Toc515980422"/>
      <w:r>
        <w:rPr>
          <w:rFonts w:hint="eastAsia"/>
        </w:rPr>
        <w:t>11.2  执行的环境质量标准及排放标准</w:t>
      </w:r>
      <w:bookmarkEnd w:id="97"/>
      <w:bookmarkEnd w:id="98"/>
    </w:p>
    <w:p>
      <w:pPr>
        <w:spacing w:line="360" w:lineRule="auto"/>
        <w:rPr>
          <w:rFonts w:ascii="宋体" w:hAnsi="宋体"/>
          <w:sz w:val="24"/>
        </w:rPr>
      </w:pPr>
      <w:r>
        <w:rPr>
          <w:rFonts w:hint="eastAsia" w:ascii="宋体" w:hAnsi="宋体"/>
          <w:sz w:val="24"/>
        </w:rPr>
        <w:t>《建筑施工场界环境噪声排放标准》（GB 12523-2011）2</w:t>
      </w:r>
      <w:r>
        <w:rPr>
          <w:rFonts w:ascii="宋体" w:hAnsi="宋体"/>
          <w:sz w:val="24"/>
        </w:rPr>
        <w:t>类标准</w:t>
      </w:r>
    </w:p>
    <w:p>
      <w:pPr>
        <w:spacing w:line="360" w:lineRule="auto"/>
        <w:rPr>
          <w:rFonts w:asciiTheme="minorEastAsia" w:hAnsiTheme="minorEastAsia" w:eastAsiaTheme="minorEastAsia"/>
          <w:sz w:val="24"/>
        </w:rPr>
      </w:pPr>
      <w:r>
        <w:rPr>
          <w:rFonts w:hint="eastAsia" w:ascii="宋体" w:hAnsi="宋体"/>
          <w:sz w:val="24"/>
        </w:rPr>
        <w:t>《饮食业油烟排放标准》（GB 18483-2001  试行）</w:t>
      </w:r>
    </w:p>
    <w:p>
      <w:pPr>
        <w:pStyle w:val="3"/>
      </w:pPr>
      <w:bookmarkStart w:id="99" w:name="_Toc509586070"/>
      <w:bookmarkStart w:id="100" w:name="_Toc515980423"/>
      <w:r>
        <w:rPr>
          <w:rFonts w:hint="eastAsia"/>
        </w:rPr>
        <w:t>11.3  拟建项目产生的主要污染物</w:t>
      </w:r>
      <w:bookmarkEnd w:id="99"/>
      <w:bookmarkEnd w:id="100"/>
    </w:p>
    <w:p>
      <w:pPr>
        <w:adjustRightInd w:val="0"/>
        <w:snapToGrid w:val="0"/>
        <w:spacing w:line="360" w:lineRule="auto"/>
        <w:ind w:firstLine="480" w:firstLineChars="200"/>
        <w:rPr>
          <w:rFonts w:ascii="宋体" w:hAnsi="宋体"/>
          <w:sz w:val="24"/>
        </w:rPr>
      </w:pPr>
      <w:bookmarkStart w:id="101" w:name="_Toc146100477"/>
      <w:bookmarkStart w:id="102" w:name="_Toc143314782"/>
      <w:r>
        <w:rPr>
          <w:rFonts w:hint="eastAsia" w:ascii="宋体" w:hAnsi="宋体"/>
          <w:sz w:val="24"/>
        </w:rPr>
        <w:t>1、建设期主要污染物</w:t>
      </w:r>
      <w:bookmarkEnd w:id="101"/>
      <w:bookmarkEnd w:id="102"/>
    </w:p>
    <w:p>
      <w:pPr>
        <w:adjustRightInd w:val="0"/>
        <w:snapToGrid w:val="0"/>
        <w:spacing w:line="360" w:lineRule="auto"/>
        <w:ind w:firstLine="480" w:firstLineChars="200"/>
        <w:rPr>
          <w:rFonts w:ascii="宋体" w:hAnsi="宋体"/>
          <w:sz w:val="24"/>
        </w:rPr>
      </w:pPr>
      <w:r>
        <w:rPr>
          <w:rFonts w:hint="eastAsia" w:ascii="宋体" w:hAnsi="宋体"/>
          <w:sz w:val="24"/>
        </w:rPr>
        <w:t>本工程建设期污染源主要为场地的平整、工程的建设会产生一定的污染物，可能发生的污染物包括：</w:t>
      </w:r>
    </w:p>
    <w:p>
      <w:pPr>
        <w:adjustRightInd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 xml:space="preserve"> 扬尘</w:t>
      </w:r>
    </w:p>
    <w:p>
      <w:pPr>
        <w:adjustRightInd w:val="0"/>
        <w:snapToGrid w:val="0"/>
        <w:spacing w:line="360" w:lineRule="auto"/>
        <w:ind w:firstLine="480" w:firstLineChars="200"/>
        <w:rPr>
          <w:rFonts w:ascii="宋体" w:hAnsi="宋体"/>
          <w:sz w:val="24"/>
        </w:rPr>
      </w:pPr>
      <w:r>
        <w:rPr>
          <w:rFonts w:hint="eastAsia" w:ascii="宋体" w:hAnsi="宋体"/>
          <w:sz w:val="24"/>
        </w:rPr>
        <w:t>工程建设期间，由于土石方的挖掘及现场堆放、建筑材料的搬运及堆放、人来车往造成的道路扬尘和施工作业场地因风力引起的扬尘，易在旱季造成大气中悬浮颗粒物含量骤增，严重影响景观和周边居民区的环境。</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 xml:space="preserve"> 水污染物</w:t>
      </w:r>
    </w:p>
    <w:p>
      <w:pPr>
        <w:adjustRightInd w:val="0"/>
        <w:snapToGrid w:val="0"/>
        <w:spacing w:line="360" w:lineRule="auto"/>
        <w:ind w:firstLine="480" w:firstLineChars="200"/>
        <w:rPr>
          <w:rFonts w:ascii="宋体" w:hAnsi="宋体"/>
          <w:sz w:val="24"/>
        </w:rPr>
      </w:pPr>
      <w:r>
        <w:rPr>
          <w:rFonts w:hint="eastAsia" w:ascii="宋体" w:hAnsi="宋体"/>
          <w:sz w:val="24"/>
        </w:rPr>
        <w:t>施工过程中工地废水、车辆设备的清洗水和施工人员的生活污水，可能对水体产生的污染。主要污染物为</w:t>
      </w:r>
      <w:r>
        <w:rPr>
          <w:rFonts w:ascii="宋体" w:hAnsi="宋体"/>
          <w:sz w:val="24"/>
        </w:rPr>
        <w:t>SS</w:t>
      </w:r>
      <w:r>
        <w:rPr>
          <w:rFonts w:hint="eastAsia" w:ascii="宋体" w:hAnsi="宋体"/>
          <w:sz w:val="24"/>
        </w:rPr>
        <w:t>、石油类，会造成水体悬浮物和石油类浓度增高。</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 xml:space="preserve"> 噪声</w:t>
      </w:r>
    </w:p>
    <w:p>
      <w:pPr>
        <w:adjustRightInd w:val="0"/>
        <w:snapToGrid w:val="0"/>
        <w:spacing w:line="360" w:lineRule="auto"/>
        <w:ind w:firstLine="480" w:firstLineChars="200"/>
        <w:rPr>
          <w:rFonts w:ascii="宋体" w:hAnsi="宋体"/>
          <w:sz w:val="24"/>
        </w:rPr>
      </w:pPr>
      <w:r>
        <w:rPr>
          <w:rFonts w:hint="eastAsia" w:ascii="宋体" w:hAnsi="宋体"/>
          <w:sz w:val="24"/>
        </w:rPr>
        <w:t>施工机械和运输车辆在运转、挖掘、钻孔、打桩、锤击、夯实、装卸、运输等过程中产生的机械噪声，特别是在夜间，施工噪声将产生严重影响邻近人员的工作和休息。</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 xml:space="preserve"> 固体废弃物</w:t>
      </w:r>
    </w:p>
    <w:p>
      <w:pPr>
        <w:adjustRightInd w:val="0"/>
        <w:snapToGrid w:val="0"/>
        <w:spacing w:line="360" w:lineRule="auto"/>
        <w:ind w:firstLine="480" w:firstLineChars="200"/>
        <w:rPr>
          <w:rFonts w:ascii="宋体" w:hAnsi="宋体"/>
          <w:sz w:val="24"/>
        </w:rPr>
      </w:pPr>
      <w:r>
        <w:rPr>
          <w:rFonts w:hint="eastAsia" w:ascii="宋体" w:hAnsi="宋体"/>
          <w:sz w:val="24"/>
        </w:rPr>
        <w:t>施工过程中产生的建筑垃圾和施工人员的生活垃圾，如果处置不当，会严重影响施工现场及附近区域的卫生环境，还可能造成土壤污染和海洋污染。</w:t>
      </w:r>
    </w:p>
    <w:p>
      <w:pPr>
        <w:adjustRightInd w:val="0"/>
        <w:snapToGrid w:val="0"/>
        <w:spacing w:line="360" w:lineRule="auto"/>
        <w:ind w:firstLine="480" w:firstLineChars="200"/>
        <w:rPr>
          <w:rFonts w:ascii="宋体" w:hAnsi="宋体"/>
          <w:sz w:val="24"/>
        </w:rPr>
      </w:pPr>
      <w:bookmarkStart w:id="103" w:name="_Toc143314783"/>
      <w:bookmarkStart w:id="104" w:name="_Toc146100478"/>
      <w:r>
        <w:rPr>
          <w:rFonts w:hint="eastAsia" w:ascii="宋体" w:hAnsi="宋体"/>
          <w:sz w:val="24"/>
        </w:rPr>
        <w:t>2、使用期主要污染物</w:t>
      </w:r>
      <w:bookmarkEnd w:id="103"/>
      <w:bookmarkEnd w:id="104"/>
    </w:p>
    <w:p>
      <w:pPr>
        <w:adjustRightInd w:val="0"/>
        <w:snapToGrid w:val="0"/>
        <w:spacing w:line="360" w:lineRule="auto"/>
        <w:ind w:firstLine="480" w:firstLineChars="200"/>
        <w:rPr>
          <w:rFonts w:ascii="宋体" w:hAnsi="宋体"/>
          <w:sz w:val="24"/>
        </w:rPr>
      </w:pPr>
      <w:r>
        <w:rPr>
          <w:rFonts w:hint="eastAsia" w:ascii="宋体" w:hAnsi="宋体"/>
          <w:sz w:val="24"/>
        </w:rPr>
        <w:t>项目建成投入使用后，产生的污染物主要包括：</w:t>
      </w:r>
    </w:p>
    <w:p>
      <w:pPr>
        <w:adjustRightInd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 xml:space="preserve"> 水污染物</w:t>
      </w:r>
    </w:p>
    <w:p>
      <w:pPr>
        <w:adjustRightInd w:val="0"/>
        <w:snapToGrid w:val="0"/>
        <w:spacing w:line="360" w:lineRule="auto"/>
        <w:ind w:firstLine="480" w:firstLineChars="200"/>
        <w:rPr>
          <w:rFonts w:ascii="宋体" w:hAnsi="宋体"/>
          <w:sz w:val="24"/>
        </w:rPr>
      </w:pPr>
      <w:r>
        <w:rPr>
          <w:rFonts w:hint="eastAsia" w:ascii="宋体" w:hAnsi="宋体"/>
          <w:sz w:val="24"/>
        </w:rPr>
        <w:t>运营期产生的水污染物，主要为学生和教职工人员产生的生活污水。</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大气污染物</w:t>
      </w:r>
    </w:p>
    <w:p>
      <w:pPr>
        <w:adjustRightInd w:val="0"/>
        <w:snapToGrid w:val="0"/>
        <w:spacing w:line="360" w:lineRule="auto"/>
        <w:ind w:firstLine="480" w:firstLineChars="200"/>
        <w:rPr>
          <w:rFonts w:ascii="宋体" w:hAnsi="宋体"/>
          <w:sz w:val="24"/>
        </w:rPr>
      </w:pPr>
      <w:r>
        <w:rPr>
          <w:rFonts w:hint="eastAsia" w:ascii="宋体" w:hAnsi="宋体"/>
          <w:sz w:val="24"/>
        </w:rPr>
        <w:t>运营期产生的大气污染物，主要为汽车尾气、厨房产生的油烟等。</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 xml:space="preserve"> 噪声</w:t>
      </w:r>
    </w:p>
    <w:p>
      <w:pPr>
        <w:adjustRightInd w:val="0"/>
        <w:snapToGrid w:val="0"/>
        <w:spacing w:line="360" w:lineRule="auto"/>
        <w:ind w:firstLine="480" w:firstLineChars="200"/>
        <w:rPr>
          <w:rFonts w:ascii="宋体" w:hAnsi="宋体"/>
          <w:sz w:val="24"/>
        </w:rPr>
      </w:pPr>
      <w:r>
        <w:rPr>
          <w:rFonts w:hint="eastAsia" w:ascii="宋体" w:hAnsi="宋体"/>
          <w:sz w:val="24"/>
        </w:rPr>
        <w:t>运营期产生的噪声，主要为学生活动产生的噪声。</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 xml:space="preserve"> 固体废弃物</w:t>
      </w:r>
    </w:p>
    <w:p>
      <w:pPr>
        <w:rPr>
          <w:rFonts w:asciiTheme="minorEastAsia" w:hAnsiTheme="minorEastAsia" w:eastAsiaTheme="minorEastAsia"/>
          <w:sz w:val="24"/>
        </w:rPr>
      </w:pPr>
      <w:r>
        <w:rPr>
          <w:rFonts w:hint="eastAsia" w:ascii="宋体" w:hAnsi="宋体"/>
          <w:sz w:val="24"/>
        </w:rPr>
        <w:t>运营期产生的固体废弃物主要为学生和教职工人员产生的固体生活垃圾</w:t>
      </w:r>
      <w:r>
        <w:rPr>
          <w:rFonts w:ascii="宋体" w:hAnsi="宋体"/>
          <w:sz w:val="24"/>
        </w:rPr>
        <w:t>。</w:t>
      </w:r>
    </w:p>
    <w:p>
      <w:pPr>
        <w:pStyle w:val="3"/>
      </w:pPr>
      <w:bookmarkStart w:id="105" w:name="_Toc509586071"/>
      <w:bookmarkStart w:id="106" w:name="_Toc515980424"/>
      <w:r>
        <w:rPr>
          <w:rFonts w:hint="eastAsia"/>
        </w:rPr>
        <w:t>11.4  污染治理措施</w:t>
      </w:r>
      <w:bookmarkEnd w:id="105"/>
      <w:bookmarkEnd w:id="106"/>
    </w:p>
    <w:p>
      <w:pPr>
        <w:adjustRightInd w:val="0"/>
        <w:snapToGrid w:val="0"/>
        <w:spacing w:line="360" w:lineRule="auto"/>
        <w:ind w:firstLine="480" w:firstLineChars="200"/>
        <w:rPr>
          <w:rFonts w:ascii="宋体" w:hAnsi="宋体"/>
          <w:sz w:val="24"/>
        </w:rPr>
      </w:pPr>
      <w:bookmarkStart w:id="107" w:name="_Toc146100480"/>
      <w:bookmarkStart w:id="108" w:name="_Toc143314785"/>
      <w:r>
        <w:rPr>
          <w:rFonts w:hint="eastAsia" w:ascii="宋体" w:hAnsi="宋体"/>
          <w:sz w:val="24"/>
        </w:rPr>
        <w:t>1、建设期污染物治理措施</w:t>
      </w:r>
      <w:bookmarkEnd w:id="107"/>
      <w:bookmarkEnd w:id="108"/>
    </w:p>
    <w:p>
      <w:pPr>
        <w:adjustRightInd w:val="0"/>
        <w:snapToGrid w:val="0"/>
        <w:spacing w:line="360" w:lineRule="auto"/>
        <w:ind w:firstLine="480" w:firstLineChars="200"/>
        <w:rPr>
          <w:rFonts w:ascii="宋体" w:hAnsi="宋体"/>
          <w:sz w:val="24"/>
        </w:rPr>
      </w:pPr>
      <w:r>
        <w:rPr>
          <w:rFonts w:hint="eastAsia" w:ascii="宋体" w:hAnsi="宋体"/>
          <w:sz w:val="24"/>
        </w:rPr>
        <w:t>本项目建设期污染随着施工的结束，所产生的污染物也随之消失。为了避免工程建设期间可能产生的大气、水环境、噪声、固体废物污染对环境产生的不良影响，建设期应采取以下治理措施：</w:t>
      </w:r>
    </w:p>
    <w:p>
      <w:pPr>
        <w:adjustRightInd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 xml:space="preserve"> 大气污染物治理措施</w:t>
      </w:r>
    </w:p>
    <w:p>
      <w:pPr>
        <w:adjustRightInd w:val="0"/>
        <w:snapToGrid w:val="0"/>
        <w:spacing w:line="360" w:lineRule="auto"/>
        <w:ind w:firstLine="480" w:firstLineChars="200"/>
        <w:rPr>
          <w:rFonts w:ascii="宋体" w:hAnsi="宋体"/>
          <w:sz w:val="24"/>
        </w:rPr>
      </w:pPr>
      <w:r>
        <w:rPr>
          <w:rFonts w:hint="eastAsia" w:ascii="宋体" w:hAnsi="宋体"/>
          <w:sz w:val="24"/>
        </w:rPr>
        <w:t>为了减少工程施工及机械引起的扬尘，应及时清扫散落在路面的泥土，对施工场地地面经常洒水，防止扬尘；物料运输过程中加盖蓬布；同时施工者应对场地环境实行保洁制度。</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 xml:space="preserve"> 水污染物治理措施</w:t>
      </w:r>
    </w:p>
    <w:p>
      <w:pPr>
        <w:adjustRightInd w:val="0"/>
        <w:snapToGrid w:val="0"/>
        <w:spacing w:line="360" w:lineRule="auto"/>
        <w:ind w:firstLine="480" w:firstLineChars="200"/>
        <w:rPr>
          <w:rFonts w:ascii="宋体" w:hAnsi="宋体"/>
          <w:sz w:val="24"/>
        </w:rPr>
      </w:pPr>
      <w:r>
        <w:rPr>
          <w:rFonts w:hint="eastAsia" w:ascii="宋体" w:hAnsi="宋体"/>
          <w:sz w:val="24"/>
        </w:rPr>
        <w:t>为了减少工程建设期产生的水污染物污染附近水体，含泥沙废水须经沉淀过滤处理后排放，施工人员暂时使用的厕所、食堂等生活设施产生的生活污水进入珠海城市市政下水管网的生活污水处理系统集中处理。</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 xml:space="preserve"> 噪声治理措施</w:t>
      </w:r>
    </w:p>
    <w:p>
      <w:pPr>
        <w:adjustRightInd w:val="0"/>
        <w:snapToGrid w:val="0"/>
        <w:spacing w:line="360" w:lineRule="auto"/>
        <w:ind w:firstLine="480" w:firstLineChars="200"/>
        <w:rPr>
          <w:rFonts w:ascii="宋体" w:hAnsi="宋体"/>
          <w:sz w:val="24"/>
        </w:rPr>
      </w:pPr>
      <w:r>
        <w:rPr>
          <w:rFonts w:hint="eastAsia" w:ascii="宋体" w:hAnsi="宋体"/>
          <w:sz w:val="24"/>
        </w:rPr>
        <w:t>工程建设期间，为减少噪声污染物对周围环境的影响，要合理安排好施工时间和施工场所，并尽量避免夜间作业；也可以在工地周围设立临时声障之类的装置，降低对附近区域声环境质量的噪声影响。</w:t>
      </w:r>
      <w:r>
        <w:rPr>
          <w:rFonts w:ascii="宋体" w:hAnsi="宋体"/>
          <w:sz w:val="24"/>
        </w:rPr>
        <w:t>除在开工前15日申报《建筑施工（噪声排放）许可证》外，还应要求施工单位尽量采用低噪声、低振动的机电设备，并采取有效的隔音、消声、降噪、减振措施，做好营运期噪声防治措施，确保环境噪声达到</w:t>
      </w:r>
      <w:r>
        <w:rPr>
          <w:rFonts w:hint="eastAsia" w:ascii="宋体" w:hAnsi="宋体"/>
          <w:sz w:val="24"/>
        </w:rPr>
        <w:t>《建筑施工场界环境噪声排放标准》（GB 12523-2011）2</w:t>
      </w:r>
      <w:r>
        <w:rPr>
          <w:rFonts w:ascii="宋体" w:hAnsi="宋体"/>
          <w:sz w:val="24"/>
        </w:rPr>
        <w:t>类标准；遵守珠海市文明施工和夜间施工有关规定，如确需在夜间和其他特定时间内施工，应办理相关手续。</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 xml:space="preserve"> 固体废弃物治理措施</w:t>
      </w:r>
    </w:p>
    <w:p>
      <w:pPr>
        <w:adjustRightInd w:val="0"/>
        <w:snapToGrid w:val="0"/>
        <w:spacing w:line="360" w:lineRule="auto"/>
        <w:ind w:firstLine="480" w:firstLineChars="200"/>
        <w:rPr>
          <w:rFonts w:ascii="宋体" w:hAnsi="宋体"/>
          <w:sz w:val="24"/>
        </w:rPr>
      </w:pPr>
      <w:r>
        <w:rPr>
          <w:rFonts w:hint="eastAsia" w:ascii="宋体" w:hAnsi="宋体"/>
          <w:sz w:val="24"/>
        </w:rPr>
        <w:t>加强对施工人员教育，不能随意乱丢垃圾，要求集中堆放，并设置垃圾箱，收集生活垃圾，并入珠海城市的生活垃圾集中处理，以保证施工人员生活环境卫生质量。</w:t>
      </w:r>
    </w:p>
    <w:p>
      <w:pPr>
        <w:adjustRightInd w:val="0"/>
        <w:snapToGrid w:val="0"/>
        <w:spacing w:line="360" w:lineRule="auto"/>
        <w:ind w:firstLine="480" w:firstLineChars="200"/>
        <w:rPr>
          <w:rFonts w:ascii="宋体" w:hAnsi="宋体"/>
          <w:sz w:val="24"/>
        </w:rPr>
      </w:pPr>
      <w:bookmarkStart w:id="109" w:name="_Toc143314786"/>
      <w:bookmarkStart w:id="110" w:name="_Toc146100481"/>
      <w:r>
        <w:rPr>
          <w:rFonts w:hint="eastAsia" w:ascii="宋体" w:hAnsi="宋体"/>
          <w:sz w:val="24"/>
        </w:rPr>
        <w:t>2、运营期污染物治理措施</w:t>
      </w:r>
      <w:bookmarkEnd w:id="109"/>
      <w:bookmarkEnd w:id="110"/>
    </w:p>
    <w:p>
      <w:pPr>
        <w:adjustRightInd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 xml:space="preserve"> 水污染治理措施</w:t>
      </w:r>
    </w:p>
    <w:p>
      <w:pPr>
        <w:adjustRightInd w:val="0"/>
        <w:snapToGrid w:val="0"/>
        <w:spacing w:line="360" w:lineRule="auto"/>
        <w:ind w:firstLine="480" w:firstLineChars="200"/>
        <w:rPr>
          <w:rFonts w:ascii="宋体" w:hAnsi="宋体"/>
          <w:sz w:val="24"/>
        </w:rPr>
      </w:pPr>
      <w:r>
        <w:rPr>
          <w:rFonts w:hint="eastAsia" w:ascii="宋体" w:hAnsi="宋体"/>
          <w:sz w:val="24"/>
        </w:rPr>
        <w:t>生活污水经初步处理后，排入珠海城市市政下水管网收集至污水处理厂集中处理。</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 xml:space="preserve"> 大气污染治理措施</w:t>
      </w:r>
    </w:p>
    <w:p>
      <w:pPr>
        <w:adjustRightInd w:val="0"/>
        <w:snapToGrid w:val="0"/>
        <w:spacing w:line="360" w:lineRule="auto"/>
        <w:ind w:firstLine="480" w:firstLineChars="200"/>
        <w:rPr>
          <w:rFonts w:ascii="宋体" w:hAnsi="宋体"/>
          <w:sz w:val="24"/>
        </w:rPr>
      </w:pPr>
      <w:r>
        <w:rPr>
          <w:rFonts w:hint="eastAsia" w:ascii="宋体" w:hAnsi="宋体"/>
          <w:sz w:val="24"/>
        </w:rPr>
        <w:t>做好食堂厨房烹饪油烟的收集、处理，食堂油烟废气应采用高效油烟净化装置处理达到《饮食业油烟排放标准》（GB 18483-2001  试行）要求后集中达标排放。</w:t>
      </w:r>
    </w:p>
    <w:p>
      <w:pPr>
        <w:adjustRightInd w:val="0"/>
        <w:snapToGrid w:val="0"/>
        <w:spacing w:line="360" w:lineRule="auto"/>
        <w:ind w:firstLine="480" w:firstLineChars="200"/>
        <w:rPr>
          <w:rFonts w:ascii="宋体" w:hAnsi="宋体"/>
          <w:sz w:val="24"/>
        </w:rPr>
      </w:pPr>
      <w:r>
        <w:rPr>
          <w:rFonts w:hint="eastAsia" w:ascii="宋体" w:hAnsi="宋体"/>
          <w:sz w:val="24"/>
        </w:rPr>
        <w:t>汽车尾气治理应从源头控制，大幅减少私家车数量，优先乘用公交或者校车，提倡自行车交通；鼓励使用清洁能源型交通工具，使用电力或太阳能动力车，推广使用无铅汽油、天然气等燃料，降低单车污染物排放。</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 xml:space="preserve"> 声环境污染治理措施</w:t>
      </w:r>
    </w:p>
    <w:p>
      <w:pPr>
        <w:adjustRightInd w:val="0"/>
        <w:snapToGrid w:val="0"/>
        <w:spacing w:line="360" w:lineRule="auto"/>
        <w:ind w:firstLine="480" w:firstLineChars="200"/>
        <w:rPr>
          <w:rFonts w:ascii="宋体" w:hAnsi="宋体"/>
          <w:sz w:val="24"/>
        </w:rPr>
      </w:pPr>
      <w:r>
        <w:rPr>
          <w:rFonts w:hint="eastAsia" w:ascii="宋体" w:hAnsi="宋体"/>
          <w:sz w:val="24"/>
        </w:rPr>
        <w:t>由于使用人员产生的噪声较小，除采用低噪或带隔声、消声的机械设备、空调设备等外，无需其他特别治理声环境污染的措施。</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 xml:space="preserve"> 固体废物治理措施</w:t>
      </w:r>
    </w:p>
    <w:p>
      <w:pPr>
        <w:adjustRightInd w:val="0"/>
        <w:snapToGrid w:val="0"/>
        <w:spacing w:line="360" w:lineRule="auto"/>
        <w:ind w:firstLine="480" w:firstLineChars="200"/>
        <w:rPr>
          <w:rFonts w:ascii="宋体" w:hAnsi="宋体"/>
          <w:sz w:val="24"/>
        </w:rPr>
      </w:pPr>
      <w:r>
        <w:rPr>
          <w:rFonts w:hint="eastAsia" w:ascii="宋体" w:hAnsi="宋体"/>
          <w:sz w:val="24"/>
        </w:rPr>
        <w:t>对于学生和教职工人员产生的生活垃圾，可设置垃圾收集袋和垃圾桶收集，要求集中堆放，并设置垃圾箱，收集生活垃圾，并入珠海城市生活垃圾集中处理。</w:t>
      </w:r>
      <w:bookmarkStart w:id="111" w:name="_Toc441588686"/>
    </w:p>
    <w:p>
      <w:pPr>
        <w:pStyle w:val="3"/>
        <w:rPr>
          <w:color w:val="000000" w:themeColor="text1"/>
          <w:sz w:val="24"/>
          <w:szCs w:val="24"/>
        </w:rPr>
      </w:pPr>
      <w:bookmarkStart w:id="112" w:name="_Toc515980425"/>
      <w:r>
        <w:rPr>
          <w:rFonts w:hint="eastAsia"/>
          <w:color w:val="000000" w:themeColor="text1"/>
        </w:rPr>
        <w:t>11.5水土保持</w:t>
      </w:r>
      <w:bookmarkEnd w:id="111"/>
      <w:bookmarkEnd w:id="112"/>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1、</w:t>
      </w:r>
      <w:r>
        <w:rPr>
          <w:rFonts w:ascii="宋体" w:hAnsi="宋体"/>
          <w:color w:val="000000" w:themeColor="text1"/>
          <w:sz w:val="24"/>
        </w:rPr>
        <w:t>依据</w:t>
      </w:r>
    </w:p>
    <w:p>
      <w:pPr>
        <w:spacing w:line="360" w:lineRule="auto"/>
        <w:ind w:firstLine="360" w:firstLineChars="150"/>
        <w:rPr>
          <w:rFonts w:ascii="宋体" w:hAnsi="宋体"/>
          <w:color w:val="000000" w:themeColor="text1"/>
          <w:sz w:val="24"/>
        </w:rPr>
      </w:pPr>
      <w:r>
        <w:rPr>
          <w:rFonts w:ascii="宋体" w:hAnsi="宋体"/>
          <w:color w:val="000000" w:themeColor="text1"/>
          <w:sz w:val="24"/>
        </w:rPr>
        <w:t>(1)《中华人民共和国水土保持法》（中华人民共和国主席令第 39 号发布，2010 年 12 月 25 日）；</w:t>
      </w:r>
    </w:p>
    <w:p>
      <w:pPr>
        <w:spacing w:line="360" w:lineRule="auto"/>
        <w:ind w:firstLine="360" w:firstLineChars="150"/>
        <w:rPr>
          <w:rFonts w:ascii="宋体" w:hAnsi="宋体"/>
          <w:color w:val="000000" w:themeColor="text1"/>
          <w:sz w:val="24"/>
        </w:rPr>
      </w:pPr>
      <w:r>
        <w:rPr>
          <w:rFonts w:ascii="宋体" w:hAnsi="宋体"/>
          <w:color w:val="000000" w:themeColor="text1"/>
          <w:sz w:val="24"/>
        </w:rPr>
        <w:t>(</w:t>
      </w:r>
      <w:r>
        <w:rPr>
          <w:rFonts w:hint="eastAsia" w:ascii="宋体" w:hAnsi="宋体"/>
          <w:color w:val="000000" w:themeColor="text1"/>
          <w:sz w:val="24"/>
        </w:rPr>
        <w:t>2</w:t>
      </w:r>
      <w:r>
        <w:rPr>
          <w:rFonts w:ascii="宋体" w:hAnsi="宋体"/>
          <w:color w:val="000000" w:themeColor="text1"/>
          <w:sz w:val="24"/>
        </w:rPr>
        <w:t>)《广东省采石取土管理规定》（广东省第九届人民代表大会常务委员会公告第 31 号，1998 年 12 月 25 日）；</w:t>
      </w:r>
    </w:p>
    <w:p>
      <w:pPr>
        <w:spacing w:line="360" w:lineRule="auto"/>
        <w:ind w:firstLine="360" w:firstLineChars="150"/>
        <w:rPr>
          <w:rFonts w:ascii="宋体" w:hAnsi="宋体"/>
          <w:color w:val="000000" w:themeColor="text1"/>
          <w:sz w:val="24"/>
        </w:rPr>
      </w:pPr>
      <w:r>
        <w:rPr>
          <w:rFonts w:ascii="宋体" w:hAnsi="宋体"/>
          <w:color w:val="000000" w:themeColor="text1"/>
          <w:sz w:val="24"/>
        </w:rPr>
        <w:t>(</w:t>
      </w:r>
      <w:r>
        <w:rPr>
          <w:rFonts w:hint="eastAsia" w:ascii="宋体" w:hAnsi="宋体"/>
          <w:color w:val="000000" w:themeColor="text1"/>
          <w:sz w:val="24"/>
        </w:rPr>
        <w:t>3</w:t>
      </w:r>
      <w:r>
        <w:rPr>
          <w:rFonts w:ascii="宋体" w:hAnsi="宋体"/>
          <w:color w:val="000000" w:themeColor="text1"/>
          <w:sz w:val="24"/>
        </w:rPr>
        <w:t>) 粤水农[2000]23 号文《关于发布全省水土流失重点防治区的通告》；</w:t>
      </w:r>
    </w:p>
    <w:p>
      <w:pPr>
        <w:spacing w:line="360" w:lineRule="auto"/>
        <w:ind w:firstLine="360" w:firstLineChars="150"/>
        <w:rPr>
          <w:rFonts w:ascii="宋体" w:hAnsi="宋体"/>
          <w:color w:val="000000" w:themeColor="text1"/>
          <w:sz w:val="24"/>
        </w:rPr>
      </w:pPr>
      <w:r>
        <w:rPr>
          <w:rFonts w:ascii="宋体" w:hAnsi="宋体"/>
          <w:color w:val="000000" w:themeColor="text1"/>
          <w:sz w:val="24"/>
        </w:rPr>
        <w:t>(</w:t>
      </w:r>
      <w:r>
        <w:rPr>
          <w:rFonts w:hint="eastAsia" w:ascii="宋体" w:hAnsi="宋体"/>
          <w:color w:val="000000" w:themeColor="text1"/>
          <w:sz w:val="24"/>
        </w:rPr>
        <w:t>4</w:t>
      </w:r>
      <w:r>
        <w:rPr>
          <w:rFonts w:ascii="宋体" w:hAnsi="宋体"/>
          <w:color w:val="000000" w:themeColor="text1"/>
          <w:sz w:val="24"/>
        </w:rPr>
        <w:t>) 《珠海市排水条例》（2010 年 1 月 1 日实施）</w:t>
      </w:r>
      <w:r>
        <w:rPr>
          <w:rFonts w:hint="eastAsia" w:ascii="宋体" w:hAnsi="宋体"/>
          <w:color w:val="000000" w:themeColor="text1"/>
          <w:sz w:val="24"/>
        </w:rPr>
        <w:t>。</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2、</w:t>
      </w:r>
      <w:r>
        <w:rPr>
          <w:rFonts w:ascii="宋体" w:hAnsi="宋体"/>
          <w:color w:val="000000" w:themeColor="text1"/>
          <w:sz w:val="24"/>
        </w:rPr>
        <w:t>防治责任范围</w:t>
      </w:r>
    </w:p>
    <w:p>
      <w:pPr>
        <w:spacing w:line="360" w:lineRule="auto"/>
        <w:ind w:firstLine="360" w:firstLineChars="150"/>
        <w:rPr>
          <w:rFonts w:ascii="宋体" w:hAnsi="宋体"/>
          <w:color w:val="000000" w:themeColor="text1"/>
          <w:sz w:val="24"/>
        </w:rPr>
      </w:pPr>
      <w:r>
        <w:rPr>
          <w:rFonts w:ascii="宋体" w:hAnsi="宋体"/>
          <w:color w:val="000000" w:themeColor="text1"/>
          <w:sz w:val="24"/>
        </w:rPr>
        <w:t>根据本项目的总体布局和项目特点，本项目的项目建设区包括场地范围内的建构筑物区、硬化道路区、景观绿化区</w:t>
      </w:r>
      <w:r>
        <w:rPr>
          <w:rFonts w:hint="eastAsia" w:ascii="宋体" w:hAnsi="宋体"/>
          <w:color w:val="000000" w:themeColor="text1"/>
          <w:sz w:val="24"/>
        </w:rPr>
        <w:t>等</w:t>
      </w:r>
      <w:r>
        <w:rPr>
          <w:rFonts w:ascii="宋体" w:hAnsi="宋体"/>
          <w:color w:val="000000" w:themeColor="text1"/>
          <w:sz w:val="24"/>
        </w:rPr>
        <w:t>建设区。</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3、</w:t>
      </w:r>
      <w:r>
        <w:rPr>
          <w:rFonts w:ascii="宋体" w:hAnsi="宋体"/>
          <w:color w:val="000000" w:themeColor="text1"/>
          <w:sz w:val="24"/>
        </w:rPr>
        <w:t>水土流失分析</w:t>
      </w:r>
    </w:p>
    <w:p>
      <w:pPr>
        <w:spacing w:line="360" w:lineRule="auto"/>
        <w:ind w:firstLine="360" w:firstLineChars="150"/>
        <w:rPr>
          <w:rFonts w:ascii="宋体" w:hAnsi="宋体"/>
          <w:color w:val="000000" w:themeColor="text1"/>
          <w:sz w:val="24"/>
        </w:rPr>
      </w:pPr>
      <w:r>
        <w:rPr>
          <w:rFonts w:ascii="宋体" w:hAnsi="宋体"/>
          <w:color w:val="000000" w:themeColor="text1"/>
          <w:sz w:val="24"/>
        </w:rPr>
        <w:t>根据本项目的实际情况，本项目在建设过程中水土流失主要发生在项目建设区的土方开挖、场地填筑等区域，由于施工期开挖、取土、填筑扰动原地貌，占压土地，破坏原有植被，造成土体结构疏松，使其水土保持功能降低或丧失，加剧了区域内水土流失的发生和发展。因此施工准备期及施工期是水土流失的主要时段。</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4、</w:t>
      </w:r>
      <w:r>
        <w:rPr>
          <w:rFonts w:ascii="宋体" w:hAnsi="宋体"/>
          <w:color w:val="000000" w:themeColor="text1"/>
          <w:sz w:val="24"/>
        </w:rPr>
        <w:t>水土流失防治目标及防治措施</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（1）</w:t>
      </w:r>
      <w:r>
        <w:rPr>
          <w:rFonts w:ascii="宋体" w:hAnsi="宋体"/>
          <w:color w:val="000000" w:themeColor="text1"/>
          <w:sz w:val="24"/>
        </w:rPr>
        <w:t>防治目标</w:t>
      </w:r>
    </w:p>
    <w:p>
      <w:pPr>
        <w:spacing w:line="360" w:lineRule="auto"/>
        <w:ind w:firstLine="360" w:firstLineChars="150"/>
        <w:rPr>
          <w:rFonts w:ascii="宋体" w:hAnsi="宋体"/>
          <w:color w:val="000000" w:themeColor="text1"/>
          <w:sz w:val="24"/>
        </w:rPr>
      </w:pPr>
      <w:r>
        <w:rPr>
          <w:rFonts w:ascii="宋体" w:hAnsi="宋体"/>
          <w:color w:val="000000" w:themeColor="text1"/>
          <w:sz w:val="24"/>
        </w:rPr>
        <w:t>根据水利部[2006]第 2 号公告和广东省人民政府“三区”公告情况，项目区属国家级重点监督区、广东省重点监督区。根据开发建设项目水土流失防治标准划分，水土流失防治标准执行建设类项目一级标准。</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（2）</w:t>
      </w:r>
      <w:r>
        <w:rPr>
          <w:rFonts w:ascii="宋体" w:hAnsi="宋体"/>
          <w:color w:val="000000" w:themeColor="text1"/>
          <w:sz w:val="24"/>
        </w:rPr>
        <w:t>防治措施</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①</w:t>
      </w:r>
      <w:r>
        <w:rPr>
          <w:rFonts w:ascii="宋体" w:hAnsi="宋体"/>
          <w:color w:val="000000" w:themeColor="text1"/>
          <w:sz w:val="24"/>
        </w:rPr>
        <w:t>为了减少 雨季水土流失，防止雨水冲刷裸露地面，造成周边道路和环境污染，须在场地周边设置临时（截）排水沟，将雨水排到场外，防止场内雨水对开挖边坡的冲刷，并截断场外雨水进入场内。同时为了防止泥沙对内部临时排水沟造成淤积和对外部排水设施造成阻塞，在场地的南侧两个拐点处各布置一座沉沙池，雨水经沉沙池处理后排入周边排水设施。</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②</w:t>
      </w:r>
      <w:r>
        <w:rPr>
          <w:rFonts w:ascii="宋体" w:hAnsi="宋体"/>
          <w:color w:val="000000" w:themeColor="text1"/>
          <w:sz w:val="24"/>
        </w:rPr>
        <w:t>景观绿化区以当地植物为主，多种植适宜当地气候并具有当地代表性的树木，外来树种只作必要的点缀，以点、线、面相结合的方式，形成多层次的绿地系统。绿化布局合理，采用小叶榕、相思、花叶榕、黄金榕、小叶女贞、非洲茉莉、台湾草、百喜草、大叶草等。</w:t>
      </w:r>
    </w:p>
    <w:p>
      <w:pPr>
        <w:spacing w:line="360" w:lineRule="auto"/>
        <w:ind w:firstLine="360" w:firstLineChars="150"/>
        <w:rPr>
          <w:rFonts w:ascii="宋体" w:hAnsi="宋体"/>
          <w:color w:val="000000" w:themeColor="text1"/>
          <w:sz w:val="24"/>
        </w:rPr>
      </w:pPr>
      <w:r>
        <w:rPr>
          <w:rFonts w:hint="eastAsia" w:ascii="宋体" w:hAnsi="宋体"/>
          <w:color w:val="000000" w:themeColor="text1"/>
          <w:sz w:val="24"/>
        </w:rPr>
        <w:t>③</w:t>
      </w:r>
      <w:r>
        <w:rPr>
          <w:rFonts w:ascii="宋体" w:hAnsi="宋体"/>
          <w:color w:val="000000" w:themeColor="text1"/>
          <w:sz w:val="24"/>
        </w:rPr>
        <w:t>规范施工行为，严格控制建设区建设施工范围，建筑设施、路基、路面、截水沟等施工按征地及设计界限控制开挖回填、尽量减少施工对周边区域的扰动和占压；需临时堆置的建筑材料及设备需置于场内，尽量避免堆料对周边区域的扰动和占压，避免造成植被破坏；对建设施工过程中散落于影响区的碎石、建筑材料及其他采取及时进行清理；建设、生产过程中若对影响区内植被造成破坏、损毁，应及时规划植物措施，恢复破坏区地表植被，改善其水土保持功能。</w:t>
      </w:r>
    </w:p>
    <w:p>
      <w:pPr>
        <w:pStyle w:val="3"/>
      </w:pPr>
      <w:bookmarkStart w:id="113" w:name="_Toc515980426"/>
      <w:bookmarkStart w:id="114" w:name="_Toc509586072"/>
      <w:r>
        <w:rPr>
          <w:rFonts w:hint="eastAsia"/>
        </w:rPr>
        <w:t>11.6结论</w:t>
      </w:r>
      <w:bookmarkEnd w:id="113"/>
      <w:bookmarkEnd w:id="114"/>
    </w:p>
    <w:p>
      <w:pPr>
        <w:pStyle w:val="7"/>
        <w:spacing w:line="360" w:lineRule="auto"/>
        <w:ind w:firstLine="480" w:firstLineChars="200"/>
        <w:rPr>
          <w:rFonts w:ascii="宋体" w:hAnsi="宋体"/>
          <w:sz w:val="24"/>
        </w:rPr>
      </w:pPr>
      <w:r>
        <w:rPr>
          <w:rFonts w:hint="eastAsia" w:ascii="宋体" w:hAnsi="宋体"/>
          <w:sz w:val="24"/>
        </w:rPr>
        <w:t>项目应严格执行环保“三同时”制度，切实落实污染防治设施的投资和建设。经采取上述措施后，该项目的建设对周围环境影响不大，可以与周围环境长期协调发展。因此，本项目的建设从环保角度衡量是可行</w:t>
      </w:r>
      <w:bookmarkStart w:id="115" w:name="_Toc100741693"/>
      <w:r>
        <w:rPr>
          <w:rFonts w:hint="eastAsia" w:ascii="宋体" w:hAnsi="宋体"/>
          <w:sz w:val="24"/>
        </w:rPr>
        <w:t>的。</w:t>
      </w:r>
    </w:p>
    <w:p>
      <w:pPr>
        <w:pStyle w:val="7"/>
        <w:spacing w:line="360" w:lineRule="auto"/>
        <w:rPr>
          <w:rFonts w:ascii="宋体"/>
          <w:sz w:val="24"/>
        </w:rPr>
      </w:pPr>
    </w:p>
    <w:bookmarkEnd w:id="115"/>
    <w:p>
      <w:pPr>
        <w:pStyle w:val="2"/>
        <w:keepNext w:val="0"/>
        <w:keepLines w:val="0"/>
        <w:autoSpaceDE w:val="0"/>
        <w:autoSpaceDN w:val="0"/>
        <w:adjustRightInd w:val="0"/>
        <w:spacing w:before="360" w:after="360" w:line="240" w:lineRule="atLeast"/>
        <w:jc w:val="center"/>
        <w:rPr>
          <w:rFonts w:ascii="宋体" w:hAnsi="宋体"/>
          <w:b w:val="0"/>
          <w:sz w:val="36"/>
          <w:szCs w:val="36"/>
        </w:rPr>
      </w:pPr>
      <w:bookmarkStart w:id="116" w:name="_Toc498870101"/>
      <w:bookmarkStart w:id="117" w:name="_Toc515980427"/>
      <w:r>
        <w:rPr>
          <w:rFonts w:hint="eastAsia" w:ascii="宋体" w:hAnsi="宋体"/>
          <w:bCs w:val="0"/>
          <w:kern w:val="2"/>
          <w:sz w:val="36"/>
        </w:rPr>
        <w:t xml:space="preserve">第十二章  </w:t>
      </w:r>
      <w:bookmarkEnd w:id="116"/>
      <w:r>
        <w:rPr>
          <w:rFonts w:hint="eastAsia" w:ascii="宋体" w:hAnsi="宋体"/>
          <w:bCs w:val="0"/>
          <w:kern w:val="2"/>
          <w:sz w:val="36"/>
        </w:rPr>
        <w:t>安全防范</w:t>
      </w:r>
      <w:bookmarkEnd w:id="117"/>
    </w:p>
    <w:p>
      <w:pPr>
        <w:pStyle w:val="3"/>
      </w:pPr>
      <w:bookmarkStart w:id="118" w:name="_Toc515980428"/>
      <w:bookmarkStart w:id="119" w:name="_Toc509586073"/>
      <w:r>
        <w:rPr>
          <w:rFonts w:hint="eastAsia"/>
        </w:rPr>
        <w:t>12.1  危害因素和危害程度分析</w:t>
      </w:r>
      <w:bookmarkEnd w:id="118"/>
      <w:bookmarkEnd w:id="119"/>
    </w:p>
    <w:p>
      <w:pPr>
        <w:spacing w:line="360" w:lineRule="auto"/>
        <w:ind w:firstLine="480" w:firstLineChars="200"/>
        <w:rPr>
          <w:rFonts w:ascii="宋体" w:hAnsi="宋体"/>
          <w:sz w:val="24"/>
        </w:rPr>
      </w:pPr>
      <w:r>
        <w:rPr>
          <w:rFonts w:hint="eastAsia" w:ascii="宋体" w:hAnsi="宋体"/>
          <w:sz w:val="24"/>
        </w:rPr>
        <w:t>工程项目及劳动场所的劳动安全卫生防护措施和有毒有害因素的浓度(强度)，必须符合国家有关劳动安全卫生技术标准和相关的设计卫生标准。</w:t>
      </w:r>
    </w:p>
    <w:p>
      <w:pPr>
        <w:spacing w:line="360" w:lineRule="auto"/>
        <w:ind w:firstLine="480" w:firstLineChars="200"/>
        <w:rPr>
          <w:rFonts w:ascii="宋体" w:hAnsi="宋体"/>
          <w:sz w:val="24"/>
        </w:rPr>
      </w:pPr>
      <w:r>
        <w:rPr>
          <w:rFonts w:hint="eastAsia" w:ascii="宋体" w:hAnsi="宋体"/>
          <w:sz w:val="24"/>
        </w:rPr>
        <w:t>建筑施工现场的运输道路、机械安装、供水、排水、供电系统、材料堆放、脚手架等临时设施，必须符合安全和劳动卫生的要求，最大限度减少劳动安全事故隐患，确保工程施工期间安全、文明施工。</w:t>
      </w:r>
    </w:p>
    <w:p>
      <w:pPr>
        <w:spacing w:line="360" w:lineRule="auto"/>
        <w:ind w:firstLine="480" w:firstLineChars="200"/>
        <w:rPr>
          <w:rFonts w:ascii="宋体" w:hAnsi="宋体"/>
          <w:sz w:val="24"/>
        </w:rPr>
      </w:pPr>
      <w:r>
        <w:rPr>
          <w:rFonts w:hint="eastAsia" w:ascii="宋体" w:hAnsi="宋体"/>
          <w:sz w:val="24"/>
        </w:rPr>
        <w:t>施工人员应持证上岗，做到各负其责，各施其职，严禁无证上岗操作。</w:t>
      </w:r>
    </w:p>
    <w:p>
      <w:pPr>
        <w:spacing w:line="360" w:lineRule="auto"/>
        <w:ind w:firstLine="480" w:firstLineChars="200"/>
        <w:rPr>
          <w:rFonts w:ascii="宋体" w:hAnsi="宋体"/>
          <w:sz w:val="24"/>
        </w:rPr>
      </w:pPr>
      <w:r>
        <w:rPr>
          <w:rFonts w:hint="eastAsia" w:ascii="宋体" w:hAnsi="宋体"/>
          <w:sz w:val="24"/>
        </w:rPr>
        <w:t>施工期和营运期各类机械作业，均应按照有关规定、规程和标准采取安全防护措施，并加强机械设备维护和检修，杜绝设备因失检、失灵而带病运行；种类电器设备应有警示标志，以防设备过载或泄漏时因设备损坏、燃烧、漏电等产生人员伤亡事故。</w:t>
      </w:r>
    </w:p>
    <w:p>
      <w:pPr>
        <w:spacing w:line="360" w:lineRule="auto"/>
        <w:ind w:firstLine="480" w:firstLineChars="200"/>
        <w:rPr>
          <w:rFonts w:ascii="宋体" w:hAnsi="宋体"/>
          <w:sz w:val="24"/>
        </w:rPr>
      </w:pPr>
      <w:r>
        <w:rPr>
          <w:rFonts w:hint="eastAsia" w:ascii="宋体" w:hAnsi="宋体"/>
          <w:sz w:val="24"/>
        </w:rPr>
        <w:t>运营期间应注意电气设备过载及供电设备故障以及由此可能引起的火灾，应注意电气设备的日常维护和定期检修。</w:t>
      </w:r>
    </w:p>
    <w:p>
      <w:pPr>
        <w:spacing w:line="360" w:lineRule="auto"/>
        <w:ind w:firstLine="480" w:firstLineChars="200"/>
        <w:rPr>
          <w:rFonts w:ascii="宋体" w:hAnsi="宋体"/>
          <w:sz w:val="24"/>
        </w:rPr>
      </w:pPr>
      <w:r>
        <w:rPr>
          <w:rFonts w:hint="eastAsia" w:ascii="宋体" w:hAnsi="宋体"/>
          <w:sz w:val="24"/>
        </w:rPr>
        <w:t>应注意由于地面材料不防滑或防滑效果不明显而存在的安全事故隐患，采取适当的防范和控制措施，避免人员伤亡事故发生。</w:t>
      </w:r>
    </w:p>
    <w:p>
      <w:pPr>
        <w:pStyle w:val="3"/>
      </w:pPr>
      <w:bookmarkStart w:id="120" w:name="_Toc509586074"/>
      <w:bookmarkStart w:id="121" w:name="_Toc515980429"/>
      <w:r>
        <w:rPr>
          <w:rFonts w:hint="eastAsia"/>
        </w:rPr>
        <w:t>12.2  安全措施方案</w:t>
      </w:r>
      <w:bookmarkEnd w:id="120"/>
      <w:bookmarkEnd w:id="121"/>
    </w:p>
    <w:p>
      <w:pPr>
        <w:adjustRightInd w:val="0"/>
        <w:snapToGrid w:val="0"/>
        <w:spacing w:line="360" w:lineRule="auto"/>
        <w:ind w:firstLine="482" w:firstLineChars="200"/>
        <w:rPr>
          <w:rFonts w:ascii="宋体" w:hAnsi="宋体"/>
          <w:b/>
          <w:sz w:val="24"/>
        </w:rPr>
      </w:pPr>
      <w:r>
        <w:rPr>
          <w:rFonts w:hint="eastAsia" w:ascii="宋体" w:hAnsi="宋体"/>
          <w:b/>
          <w:sz w:val="24"/>
        </w:rPr>
        <w:t>一、建设期</w:t>
      </w:r>
    </w:p>
    <w:p>
      <w:pPr>
        <w:spacing w:line="360" w:lineRule="auto"/>
        <w:ind w:firstLine="480" w:firstLineChars="200"/>
        <w:rPr>
          <w:rFonts w:ascii="宋体" w:hAnsi="宋体"/>
          <w:sz w:val="24"/>
        </w:rPr>
      </w:pPr>
      <w:r>
        <w:rPr>
          <w:rFonts w:hint="eastAsia" w:ascii="宋体" w:hAnsi="宋体"/>
          <w:sz w:val="24"/>
        </w:rPr>
        <w:t>1、原则</w:t>
      </w:r>
    </w:p>
    <w:p>
      <w:pPr>
        <w:spacing w:line="360" w:lineRule="auto"/>
        <w:ind w:firstLine="480" w:firstLineChars="200"/>
        <w:rPr>
          <w:rFonts w:ascii="宋体" w:hAnsi="宋体"/>
          <w:sz w:val="24"/>
        </w:rPr>
      </w:pPr>
      <w:r>
        <w:rPr>
          <w:rFonts w:hint="eastAsia" w:ascii="宋体" w:hAnsi="宋体"/>
          <w:sz w:val="24"/>
        </w:rPr>
        <w:t>（1）劳动安全及消防卫生必须惯彻“安全第一，预放为主”的方针，根据国家及地方相关劳动安全及卫生的规程、规范及标准，确定工程设计采用的劳动安全及卫生技术标准。</w:t>
      </w:r>
    </w:p>
    <w:p>
      <w:pPr>
        <w:spacing w:line="360" w:lineRule="auto"/>
        <w:ind w:firstLine="480" w:firstLineChars="200"/>
        <w:rPr>
          <w:rFonts w:ascii="宋体" w:hAnsi="宋体"/>
          <w:sz w:val="24"/>
        </w:rPr>
      </w:pPr>
      <w:r>
        <w:rPr>
          <w:rFonts w:hint="eastAsia" w:ascii="宋体" w:hAnsi="宋体"/>
          <w:sz w:val="24"/>
        </w:rPr>
        <w:t>（2）因地制宜，选择技术成熟、性能可靠、经济实用的劳动安全及卫生措施工艺。劳动卫生防护措施，必须与主体工程同时设计、同时施工、同时投产。</w:t>
      </w:r>
    </w:p>
    <w:p>
      <w:pPr>
        <w:spacing w:line="360" w:lineRule="auto"/>
        <w:ind w:firstLine="480" w:firstLineChars="200"/>
        <w:rPr>
          <w:rFonts w:ascii="宋体" w:hAnsi="宋体"/>
          <w:sz w:val="24"/>
        </w:rPr>
      </w:pPr>
      <w:r>
        <w:rPr>
          <w:rFonts w:hint="eastAsia" w:ascii="宋体" w:hAnsi="宋体"/>
          <w:sz w:val="24"/>
        </w:rPr>
        <w:t>（3）工程项目及劳动场所的劳动安全卫生防护措施和有毒有害因素的浓度(强度)，必须符合国家有关劳动安全卫生技术标准和相关的设计卫生标准。</w:t>
      </w:r>
    </w:p>
    <w:p>
      <w:pPr>
        <w:spacing w:line="360" w:lineRule="auto"/>
        <w:ind w:firstLine="480" w:firstLineChars="200"/>
        <w:rPr>
          <w:rFonts w:ascii="宋体" w:hAnsi="宋体"/>
          <w:sz w:val="24"/>
        </w:rPr>
      </w:pPr>
      <w:r>
        <w:rPr>
          <w:rFonts w:hint="eastAsia" w:ascii="宋体" w:hAnsi="宋体"/>
          <w:sz w:val="24"/>
        </w:rPr>
        <w:t>（4）建筑施工现场的运输道路、机械安装、供水、排水、供电系统、材料堆放、脚手架等临时设施，必须符合安全和劳动卫生的要求，最大限度减少劳动安全事故隐患，确保工程施工期间安全、文明施工。</w:t>
      </w:r>
    </w:p>
    <w:p>
      <w:pPr>
        <w:spacing w:line="360" w:lineRule="auto"/>
        <w:ind w:firstLine="480" w:firstLineChars="200"/>
        <w:rPr>
          <w:rFonts w:ascii="宋体" w:hAnsi="宋体"/>
          <w:sz w:val="24"/>
        </w:rPr>
      </w:pPr>
      <w:r>
        <w:rPr>
          <w:rFonts w:hint="eastAsia" w:ascii="宋体" w:hAnsi="宋体"/>
          <w:sz w:val="24"/>
        </w:rPr>
        <w:t>2、措施</w:t>
      </w:r>
    </w:p>
    <w:p>
      <w:pPr>
        <w:spacing w:line="360" w:lineRule="auto"/>
        <w:ind w:firstLine="480" w:firstLineChars="200"/>
        <w:rPr>
          <w:rFonts w:ascii="宋体" w:hAnsi="宋体"/>
          <w:sz w:val="24"/>
        </w:rPr>
      </w:pPr>
      <w:r>
        <w:rPr>
          <w:rFonts w:hint="eastAsia" w:ascii="宋体" w:hAnsi="宋体"/>
          <w:sz w:val="24"/>
        </w:rPr>
        <w:t>（1）施工人员应持证上岗，做到各负其责，各施其职，严禁无证上岗操作。</w:t>
      </w:r>
    </w:p>
    <w:p>
      <w:pPr>
        <w:spacing w:line="360" w:lineRule="auto"/>
        <w:ind w:firstLine="480" w:firstLineChars="200"/>
        <w:rPr>
          <w:rFonts w:ascii="宋体" w:hAnsi="宋体"/>
          <w:sz w:val="24"/>
        </w:rPr>
      </w:pPr>
      <w:r>
        <w:rPr>
          <w:rFonts w:hint="eastAsia" w:ascii="宋体" w:hAnsi="宋体"/>
          <w:sz w:val="24"/>
        </w:rPr>
        <w:t>（2）施工期各类机械作业，均应按照有关规定、规程和标准采取安全防护措施，并加强机械设备维护和检修，杜绝设备因失检、失灵而带病运行；种类电器设备应有警示标志，以防设备过载或泄漏时因设备损坏、燃烧、漏电等产生人员伤亡事故。</w:t>
      </w:r>
    </w:p>
    <w:p>
      <w:pPr>
        <w:spacing w:line="360" w:lineRule="auto"/>
        <w:ind w:firstLine="480" w:firstLineChars="200"/>
        <w:rPr>
          <w:rFonts w:ascii="宋体" w:hAnsi="宋体"/>
          <w:sz w:val="24"/>
        </w:rPr>
      </w:pPr>
      <w:r>
        <w:rPr>
          <w:rFonts w:hint="eastAsia" w:ascii="宋体" w:hAnsi="宋体"/>
          <w:sz w:val="24"/>
        </w:rPr>
        <w:t>（3）工程施工弃渣土应引起高度重视，要严格按照各项管理条例实施预防，避免由于管理不严，产生水土流失和扬尘污染环境。</w:t>
      </w:r>
    </w:p>
    <w:p>
      <w:pPr>
        <w:spacing w:line="360" w:lineRule="auto"/>
        <w:ind w:firstLine="480" w:firstLineChars="200"/>
        <w:rPr>
          <w:rFonts w:ascii="宋体" w:hAnsi="宋体"/>
          <w:sz w:val="24"/>
        </w:rPr>
      </w:pPr>
      <w:r>
        <w:rPr>
          <w:rFonts w:hint="eastAsia" w:ascii="宋体" w:hAnsi="宋体"/>
          <w:sz w:val="24"/>
        </w:rPr>
        <w:t>（4）施工期间所产生的污水，通过市政管理部门指定的排放方式排向污水系统，排出前应作沉淀及分离处理。</w:t>
      </w:r>
    </w:p>
    <w:p>
      <w:pPr>
        <w:spacing w:line="360" w:lineRule="auto"/>
        <w:ind w:firstLine="480" w:firstLineChars="200"/>
        <w:rPr>
          <w:rFonts w:ascii="宋体" w:hAnsi="宋体"/>
          <w:sz w:val="24"/>
        </w:rPr>
      </w:pPr>
      <w:r>
        <w:rPr>
          <w:rFonts w:hint="eastAsia" w:ascii="宋体" w:hAnsi="宋体"/>
          <w:sz w:val="24"/>
        </w:rPr>
        <w:t>（5）对操作高噪声、振动设备的工作人员，配备隔音耳塞并对设备采取减振垫等，以保证工作人员身体健康。</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（7）工程项目进度中的打桩应安排在暑期，避免在上课期间，影响学生及老师的学习及工作。</w:t>
      </w:r>
    </w:p>
    <w:p>
      <w:pPr>
        <w:adjustRightInd w:val="0"/>
        <w:snapToGrid w:val="0"/>
        <w:spacing w:line="360" w:lineRule="auto"/>
        <w:ind w:firstLine="482" w:firstLineChars="200"/>
        <w:rPr>
          <w:rFonts w:ascii="宋体" w:hAnsi="宋体"/>
          <w:b/>
          <w:sz w:val="24"/>
        </w:rPr>
      </w:pPr>
      <w:r>
        <w:rPr>
          <w:rFonts w:hint="eastAsia" w:ascii="宋体" w:hAnsi="宋体"/>
          <w:b/>
          <w:sz w:val="24"/>
        </w:rPr>
        <w:t>二、运营期</w:t>
      </w:r>
    </w:p>
    <w:p>
      <w:pPr>
        <w:spacing w:line="360" w:lineRule="auto"/>
        <w:ind w:firstLine="480" w:firstLineChars="200"/>
        <w:rPr>
          <w:rFonts w:ascii="宋体" w:hAnsi="宋体"/>
          <w:sz w:val="24"/>
        </w:rPr>
      </w:pPr>
      <w:r>
        <w:rPr>
          <w:rFonts w:hint="eastAsia" w:ascii="宋体" w:hAnsi="宋体"/>
          <w:sz w:val="24"/>
        </w:rPr>
        <w:t>首先学校应当建立校内安全管理机构，实行校长负责制，建立健全校内各项安全管理制度和安全应急机制，如门卫制度，校外人员入校的登记或者验证制度；校内安全定期检查制度和危房报告制度；消防安全制度和工作责任制；用水、用电、用气等相关设施设备的安全管理制度；实验室安全管理制度，严格建立危险化学品、放射物质的购买、保管、使用、登记、注销等制度。租用校车的学校，还应当按照规定加强校车的安全管理。</w:t>
      </w:r>
      <w:r>
        <w:rPr>
          <w:rFonts w:ascii="宋体" w:hAnsi="宋体"/>
          <w:sz w:val="24"/>
        </w:rPr>
        <w:t>设</w:t>
      </w:r>
      <w:r>
        <w:rPr>
          <w:rFonts w:hint="eastAsia" w:ascii="宋体" w:hAnsi="宋体"/>
          <w:sz w:val="24"/>
        </w:rPr>
        <w:t>立</w:t>
      </w:r>
      <w:r>
        <w:rPr>
          <w:rFonts w:ascii="宋体" w:hAnsi="宋体"/>
          <w:sz w:val="24"/>
        </w:rPr>
        <w:t>卫生室，按学生人数六百比一的比例配备专职卫生技术人员。</w:t>
      </w:r>
    </w:p>
    <w:p>
      <w:pPr>
        <w:spacing w:line="360" w:lineRule="auto"/>
        <w:ind w:firstLine="480" w:firstLineChars="200"/>
        <w:rPr>
          <w:rFonts w:ascii="宋体" w:hAnsi="宋体"/>
          <w:sz w:val="24"/>
        </w:rPr>
      </w:pPr>
      <w:r>
        <w:rPr>
          <w:rFonts w:ascii="宋体" w:hAnsi="宋体"/>
          <w:sz w:val="24"/>
        </w:rPr>
        <w:t>学校教学建筑、环境噪声、室内微小气候、采光、照明等环境质量以及黑板、课桌椅的设置应当符合国家有关标准。</w:t>
      </w:r>
      <w:r>
        <w:rPr>
          <w:rFonts w:hint="eastAsia" w:ascii="宋体" w:hAnsi="宋体"/>
          <w:sz w:val="24"/>
        </w:rPr>
        <w:t>选用无尘粉笔，减少授课时日积月累的粉尘污染，加强对学校教师的劳动保护。</w:t>
      </w:r>
    </w:p>
    <w:p>
      <w:pPr>
        <w:spacing w:line="360" w:lineRule="auto"/>
        <w:ind w:firstLine="480" w:firstLineChars="200"/>
        <w:rPr>
          <w:rFonts w:ascii="宋体" w:hAnsi="宋体"/>
          <w:sz w:val="24"/>
        </w:rPr>
      </w:pPr>
      <w:r>
        <w:rPr>
          <w:rFonts w:ascii="宋体" w:hAnsi="宋体"/>
          <w:sz w:val="24"/>
        </w:rPr>
        <w:t>选址、设计应当符合国家的卫生标准，并取得当地卫生行政部门的许可。竣工验收应当有当地卫生行政部门参加。</w:t>
      </w:r>
    </w:p>
    <w:p>
      <w:pPr>
        <w:spacing w:line="360" w:lineRule="auto"/>
        <w:ind w:firstLine="480" w:firstLineChars="200"/>
        <w:rPr>
          <w:rFonts w:ascii="宋体" w:hAnsi="宋体"/>
          <w:sz w:val="24"/>
        </w:rPr>
      </w:pPr>
      <w:r>
        <w:rPr>
          <w:rFonts w:ascii="宋体" w:hAnsi="宋体"/>
          <w:sz w:val="24"/>
        </w:rPr>
        <w:t>学校应当按照有关规定为学生设置厕所和洗手设施。为学生提供充足的符合卫生标准的饮用水。</w:t>
      </w:r>
    </w:p>
    <w:p>
      <w:pPr>
        <w:spacing w:line="360" w:lineRule="auto"/>
        <w:ind w:firstLine="480" w:firstLineChars="200"/>
        <w:rPr>
          <w:rFonts w:ascii="宋体" w:hAnsi="宋体"/>
          <w:sz w:val="24"/>
        </w:rPr>
      </w:pPr>
      <w:r>
        <w:rPr>
          <w:rFonts w:ascii="宋体" w:hAnsi="宋体"/>
          <w:sz w:val="24"/>
        </w:rPr>
        <w:t>学校应当建立卫生制度，加强对学生个人卫生、环境卫生以及教室、宿舍卫生的管理。</w:t>
      </w:r>
    </w:p>
    <w:p>
      <w:pPr>
        <w:spacing w:line="360" w:lineRule="auto"/>
        <w:ind w:firstLine="480" w:firstLineChars="200"/>
        <w:rPr>
          <w:rFonts w:ascii="宋体" w:hAnsi="宋体"/>
          <w:sz w:val="24"/>
        </w:rPr>
      </w:pPr>
      <w:r>
        <w:rPr>
          <w:rFonts w:ascii="宋体" w:hAnsi="宋体"/>
          <w:sz w:val="24"/>
        </w:rPr>
        <w:t>学校体育场地和器材应当符合卫生和安全要求。运动项目和运动强度应当适合学生的生理承受能力和体质健康状况，防止发生伤害事故。</w:t>
      </w:r>
    </w:p>
    <w:p>
      <w:pPr>
        <w:spacing w:line="360" w:lineRule="auto"/>
        <w:ind w:firstLine="480" w:firstLineChars="200"/>
        <w:rPr>
          <w:rFonts w:ascii="宋体" w:hAnsi="宋体"/>
          <w:sz w:val="24"/>
        </w:rPr>
      </w:pPr>
      <w:r>
        <w:rPr>
          <w:rFonts w:ascii="宋体" w:hAnsi="宋体"/>
          <w:sz w:val="24"/>
        </w:rPr>
        <w:t>学校在安排体育课以及劳动等体力活动时，应当注意女学生的生理特点，给予必要的照顾。</w:t>
      </w:r>
    </w:p>
    <w:p>
      <w:pPr>
        <w:spacing w:line="360" w:lineRule="auto"/>
        <w:ind w:firstLine="480" w:firstLineChars="200"/>
        <w:rPr>
          <w:rFonts w:ascii="宋体" w:hAnsi="宋体"/>
          <w:sz w:val="24"/>
        </w:rPr>
      </w:pPr>
      <w:r>
        <w:rPr>
          <w:rFonts w:ascii="宋体" w:hAnsi="宋体"/>
          <w:sz w:val="24"/>
        </w:rPr>
        <w:t>学校应当开展学生健康咨询活动。</w:t>
      </w:r>
    </w:p>
    <w:p>
      <w:pPr>
        <w:spacing w:line="360" w:lineRule="auto"/>
        <w:ind w:firstLine="480" w:firstLineChars="200"/>
        <w:rPr>
          <w:rFonts w:ascii="宋体" w:hAnsi="宋体"/>
          <w:sz w:val="24"/>
        </w:rPr>
      </w:pPr>
      <w:r>
        <w:rPr>
          <w:rFonts w:ascii="宋体" w:hAnsi="宋体"/>
          <w:sz w:val="24"/>
        </w:rPr>
        <w:t>学校应当建立学生健康管理制度。根据条件定期对学生进行体格检查，建立学生体质健康卡片，纳入学生档案。对体格检查中发现学生有器质性疾病的，应当配合学生家长做好转诊治疗。</w:t>
      </w:r>
    </w:p>
    <w:p>
      <w:pPr>
        <w:spacing w:line="360" w:lineRule="auto"/>
        <w:ind w:firstLine="480" w:firstLineChars="200"/>
        <w:rPr>
          <w:rFonts w:ascii="宋体" w:hAnsi="宋体"/>
          <w:sz w:val="24"/>
        </w:rPr>
      </w:pPr>
      <w:r>
        <w:rPr>
          <w:rFonts w:ascii="宋体" w:hAnsi="宋体"/>
          <w:sz w:val="24"/>
        </w:rPr>
        <w:t>学校对残疾、体弱学生，应当加强医学照顾和心理卫生工作。</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22" w:name="_Toc498870109"/>
      <w:bookmarkStart w:id="123" w:name="_Toc509584570"/>
      <w:bookmarkStart w:id="124" w:name="_Toc509586075"/>
      <w:bookmarkStart w:id="125" w:name="_Toc515980430"/>
      <w:r>
        <w:rPr>
          <w:rFonts w:hint="eastAsia" w:ascii="宋体" w:hAnsi="宋体"/>
          <w:bCs w:val="0"/>
          <w:kern w:val="2"/>
          <w:sz w:val="36"/>
        </w:rPr>
        <w:t>第十三章 组织机构与</w:t>
      </w:r>
      <w:bookmarkEnd w:id="122"/>
      <w:r>
        <w:rPr>
          <w:rFonts w:hint="eastAsia" w:ascii="宋体" w:hAnsi="宋体"/>
          <w:bCs w:val="0"/>
          <w:kern w:val="2"/>
          <w:sz w:val="36"/>
        </w:rPr>
        <w:t>人员配备</w:t>
      </w:r>
      <w:bookmarkEnd w:id="123"/>
      <w:bookmarkEnd w:id="124"/>
      <w:bookmarkEnd w:id="125"/>
    </w:p>
    <w:p>
      <w:pPr>
        <w:pStyle w:val="3"/>
      </w:pPr>
      <w:bookmarkStart w:id="126" w:name="_Toc509586076"/>
      <w:bookmarkStart w:id="127" w:name="_Toc515980431"/>
      <w:r>
        <w:rPr>
          <w:rFonts w:hint="eastAsia"/>
        </w:rPr>
        <w:t>13.1  使用单位</w:t>
      </w:r>
      <w:bookmarkEnd w:id="126"/>
      <w:bookmarkEnd w:id="127"/>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一、学校组织机构的含义</w:t>
      </w:r>
    </w:p>
    <w:p>
      <w:pPr>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指按照学校一定的工作任务和目标，将组织成员按不同的工作性质、职务、岗位组合起来，形成层次恰当，结构合理的有机整体。</w:t>
      </w:r>
    </w:p>
    <w:p>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二、学校组织机构和管理体制</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1、学校实行董事会领导下的校长负责制。</w:t>
      </w:r>
    </w:p>
    <w:p>
      <w:pPr>
        <w:pStyle w:val="9"/>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董事会是学校的管理决策机构，是学校法人财产权实际所有管理者。董事会根据需要决定成立另外具独立法人资质的相应非营利性基金会，并依照相关法律，决定学校法人资产委托或移除到基金会管理经营及其合作关系方式。</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2、学校依法设立董事会，董事依法由举办者或其代表、校长、学校党组织负责人、教职工代表等人组成，成为学校管理层人员，每届任期年，可连选连任。其中三分之一以上的董事应具有五年以上教学经验。学校董事会中教职工代表不少于一人，由全体教职工民主选举产生。3、董事会设董事长一人，董事长由举办人推举，由董事会全体董事选举产生，并通常担任学校法人代表。</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4、董事会行使下列职权：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（一）聘任和解聘校长；</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（二）制定和修改学校章程、规章制度；</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（三）制定学校的发展规划，批准年度工作计划；</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（四）筹集办学经费，审核学校财务预算、决算；</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（五）决定教职工的编制定额和工资标准；</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（六）决定学校的分立、合并、托管、法人财产权的移除及学校终止；</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（七）选举和罢免董事长，聘任和解聘董事、监事；</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（八）确定学校法定代表人人选；</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（九）按照学校董事会章程规定选举产生下一届学校董事会；</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（十）决定其他重大事项。学校的分立、合并、变更、托管、法人财产权的移除，不能影响学校正常的教育秩序。</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5、董事长行使下列职权：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（一）召集和主持董事会议；</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（二）检查董事会决议的实施情况；</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（三）检查学校财务状况；</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（四）法律、法规和学校章程赋予的其他职权。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6、董事会每年定期召开一次会议，在每学年开学前召开。若三分之一以上董事提议，或董事长认为有必要的，应召开董事会临时会议，临时会议与定期会议通过的决议具有同等效力。</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7、董事会议由董事长召集和主持，董事长因特殊原因不能履行职务时，由董事长指定的其他董事召集和主持。董事会议按照出席会议董事人数，实行一人一票制，少数服从多数原则。</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8、出席董事会议的人数须为全体董事会人数的三分之二以上，会议决议必须超过全体董事人数的二分之一通过方可生效，重大事项必须超过全体董事人数的三分之二通过方可生效。</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9、经董事会决定，校长也可以是学校的法定代表人，对外代表学校，对内全面负责学校的教育教学和行政管理工作。校长在学校董事会的领导下，依法治校，全面负责学校行政工作，并行使下列职权：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（一）服从学校董事会的领导，执行学校董事会的决定；</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（二）组织实施学校发展规划，拟订学校学期、学年工作计划、财务预算、决算报董事会审核；</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（三）组织教学活动、教学研究和思想品德教育，实施素质教育；</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（四）拟订行政组织机构的设置方案，提供学校骨干教师及行政中层干部人选，经董事会批准后执行、聘任；</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（五）负责专业建设和师资队伍建设，做好人才的培养引进和使用工作，负责教师的聘任与管理工作，依法聘用和解聘教师；</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（六）负责学校日常事务管理，主持校务会议并作出决策；</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（七）负责执行董事会决定的学校基础建设工作，保护和管理学校资产，维护学校合法权益；</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（八）实行校务公开，每年向教职工代表大会至少报告一次工作；</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（九）经董事会同意，组织开展对外交流与合作；</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（十）校长作为学校安全工作直接责任人，负责学校安全保卫和后勤保障工作，负责检查学校安全设施建设，制订学校安全管理制度和安全责任制度，组织实施学校安全管理工作；</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（十一）行使学校章程规定的其他职责。</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10、学校基层党组织按照中国共产党章程的规定开展党的活动，发按政治核心作用，把握社会主义办学方向。学校党组织领导班子成员可以通过学校章程规定的程序进入学校的董事会和行政管理机构，党员校长、副校长等行政机构成员可按照党的有关规定进入党组织领导班子。学校依靠基层党组织，充分发挥教职工代表大会、工会等群众组织的作用。</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11、学校建立以教师为主体的教职工代表大会制度，保障教职工参与学校民主管理和进行民主监督。凡与教职工利益直接相关的福利和校内分配实施方案，以及有关教职工聘任、考核、奖惩的办法，都由董事会提出方案，经教职工代表大会审议通过。学校工会作为教职工代表大会的工作机构，依法保障学校民主管理、民主监督的落实，维护教职工的合法权益。</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12、学校设立监事会或监事，监事会成员为三人。监事每届任期四年，可连选连任。</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13、监事在举办者、学校教职工代表或主管部门推荐的人员中产生或更换。监事会中的教职工代表由学校教职工民主选举产生。学校董事、校长、各部门主任及财务负责人不得兼任监事。</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14、监事会或监事行使下列职权：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（一）检查监督学校贯彻落实学校章程、董事会章程和贯彻执行董事会决议的情况；</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（二）监督学校中层以上管理人员履行职责、遵守法律法规和学校章程的行为；</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（三）检查学校执行董事会制定的用人原则和审批的年度教职工的编制定额及其工资标准的执行情况；</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（四）定期对教育教学工作和管理进行督导，对教学质量进行评估；</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（五）定期对学校预算、决算进行内部审计；</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（六）检查资产的管理与维护保全情况；</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（七）对董事会提出监督的重要事项和学生、教职工要求监察的重大事项进行监督。</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15、监事会会议实行一人一票制。监事会决议须经全体监事过半数表决通过方可生效。</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16、学校依法实行信息公开，切实保障教职工、学生、社会公众对学校重大事项、重要制度的知情权、参与权、表达权和监督权。</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17、学校依法健全校内纠纷解决机制，综合运用信访、调解、申诉等争议解决机制处理学校内部各种利益纠纷。学校建立校内申诉制度。分别成立校内学生申诉处理机构和校内教师申诉处理机构，明确申诉处理机构的人员组成、受理及处理规则。</w:t>
      </w:r>
    </w:p>
    <w:p>
      <w:pPr>
        <w:pStyle w:val="9"/>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18、学校依法接受教育行政部门及其他政府相关部门的领导或指导、管理和监督，接受社会、家长的监督，听取社会各界对学校工作的意见和建议。</w:t>
      </w:r>
    </w:p>
    <w:p>
      <w:pPr>
        <w:spacing w:line="360" w:lineRule="auto"/>
        <w:ind w:firstLine="472" w:firstLineChars="196"/>
        <w:rPr>
          <w:rFonts w:asciiTheme="minorEastAsia" w:hAnsiTheme="minorEastAsia" w:eastAsiaTheme="minorEastAsia"/>
          <w:b/>
          <w:bCs/>
          <w:sz w:val="24"/>
        </w:rPr>
      </w:pPr>
      <w:r>
        <w:rPr>
          <w:rFonts w:hint="eastAsia" w:asciiTheme="minorEastAsia" w:hAnsiTheme="minorEastAsia" w:eastAsiaTheme="minorEastAsia"/>
          <w:b/>
          <w:bCs/>
          <w:sz w:val="24"/>
        </w:rPr>
        <w:t>六、建设管理机构</w:t>
      </w:r>
    </w:p>
    <w:p>
      <w:pPr>
        <w:spacing w:line="360" w:lineRule="auto"/>
        <w:ind w:firstLine="561"/>
        <w:jc w:val="left"/>
        <w:rPr>
          <w:rFonts w:asciiTheme="minorEastAsia" w:hAnsiTheme="minorEastAsia" w:eastAsiaTheme="minorEastAsia"/>
          <w:sz w:val="24"/>
        </w:rPr>
      </w:pPr>
      <w:r>
        <w:rPr>
          <w:rFonts w:hint="eastAsia" w:asciiTheme="minorEastAsia" w:hAnsiTheme="minorEastAsia" w:eastAsiaTheme="minorEastAsia"/>
          <w:sz w:val="24"/>
        </w:rPr>
        <w:t>（一）项目承办组织</w:t>
      </w:r>
    </w:p>
    <w:p>
      <w:pPr>
        <w:spacing w:line="360" w:lineRule="auto"/>
        <w:ind w:firstLine="561"/>
        <w:jc w:val="left"/>
        <w:rPr>
          <w:rFonts w:asciiTheme="minorEastAsia" w:hAnsiTheme="minorEastAsia" w:eastAsiaTheme="minorEastAsia"/>
          <w:sz w:val="24"/>
        </w:rPr>
      </w:pPr>
      <w:r>
        <w:rPr>
          <w:rFonts w:hint="eastAsia" w:asciiTheme="minorEastAsia" w:hAnsiTheme="minorEastAsia" w:eastAsiaTheme="minorEastAsia"/>
          <w:sz w:val="24"/>
        </w:rPr>
        <w:t>本项目代建单位是珠海汇华基础设施投资有限公司，并组成筹建小组。</w:t>
      </w:r>
    </w:p>
    <w:p>
      <w:pPr>
        <w:spacing w:line="360" w:lineRule="auto"/>
        <w:ind w:firstLine="561"/>
        <w:jc w:val="left"/>
        <w:rPr>
          <w:rFonts w:asciiTheme="minorEastAsia" w:hAnsiTheme="minorEastAsia" w:eastAsiaTheme="minorEastAsia"/>
          <w:sz w:val="24"/>
        </w:rPr>
      </w:pPr>
      <w:r>
        <w:rPr>
          <w:rFonts w:hint="eastAsia" w:asciiTheme="minorEastAsia" w:hAnsiTheme="minorEastAsia" w:eastAsiaTheme="minorEastAsia"/>
          <w:sz w:val="24"/>
        </w:rPr>
        <w:t>（二）筹建组职责</w:t>
      </w:r>
    </w:p>
    <w:p>
      <w:pPr>
        <w:spacing w:line="360" w:lineRule="auto"/>
        <w:ind w:firstLine="480" w:firstLineChars="200"/>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、负责项目的组织、协调与管理；对建设工程安全、质量、工期等负领导责任。</w:t>
      </w:r>
    </w:p>
    <w:p>
      <w:pPr>
        <w:spacing w:line="360" w:lineRule="auto"/>
        <w:ind w:firstLine="480" w:firstLineChars="200"/>
        <w:jc w:val="left"/>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、负责项目建设过程中招标采购及外协内联、安全保卫工作。</w:t>
      </w:r>
    </w:p>
    <w:p>
      <w:pPr>
        <w:spacing w:line="360" w:lineRule="auto"/>
        <w:ind w:firstLine="480" w:firstLineChars="200"/>
        <w:jc w:val="left"/>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、负责项目建设过程中的工程质量、工程进度、工程成本的技术监督与管理工作。</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、负责项目建设过程中的资金管理。对项目资金实行专账管理、专款专用</w:t>
      </w:r>
    </w:p>
    <w:p>
      <w:pPr>
        <w:spacing w:line="360" w:lineRule="auto"/>
        <w:ind w:firstLine="480" w:firstLineChars="200"/>
        <w:rPr>
          <w:rFonts w:asciiTheme="minorEastAsia" w:hAnsiTheme="minorEastAsia" w:eastAsiaTheme="minorEastAsia"/>
          <w:sz w:val="24"/>
        </w:rPr>
      </w:pPr>
    </w:p>
    <w:p>
      <w:pPr>
        <w:rPr>
          <w:rFonts w:ascii="宋体" w:hAnsi="宋体"/>
          <w:b/>
          <w:sz w:val="28"/>
          <w:szCs w:val="28"/>
        </w:rPr>
      </w:pPr>
      <w:r>
        <w:rPr>
          <w:rFonts w:hint="eastAsia" w:ascii="宋体" w:hAnsi="宋体"/>
          <w:b/>
          <w:sz w:val="28"/>
          <w:szCs w:val="28"/>
        </w:rPr>
        <w:t>人力资源配置</w:t>
      </w:r>
    </w:p>
    <w:p>
      <w:pPr>
        <w:spacing w:line="360" w:lineRule="auto"/>
        <w:rPr>
          <w:rFonts w:ascii="宋体" w:hAnsi="宋体"/>
          <w:b/>
          <w:sz w:val="24"/>
        </w:rPr>
      </w:pPr>
      <w:r>
        <w:rPr>
          <w:rFonts w:hint="eastAsia" w:ascii="宋体" w:hAnsi="宋体"/>
          <w:b/>
          <w:sz w:val="24"/>
        </w:rPr>
        <w:t>一、人力资源配置的依据</w:t>
      </w:r>
    </w:p>
    <w:p>
      <w:pPr>
        <w:spacing w:line="360" w:lineRule="auto"/>
        <w:ind w:firstLine="480" w:firstLineChars="200"/>
        <w:rPr>
          <w:rFonts w:ascii="宋体" w:hAnsi="宋体"/>
          <w:sz w:val="24"/>
        </w:rPr>
      </w:pPr>
      <w:r>
        <w:rPr>
          <w:rFonts w:hint="eastAsia" w:ascii="宋体" w:hAnsi="宋体"/>
          <w:sz w:val="24"/>
        </w:rPr>
        <w:t>1、国家有关劳动法律法规及规章</w:t>
      </w:r>
    </w:p>
    <w:p>
      <w:pPr>
        <w:spacing w:line="360" w:lineRule="auto"/>
        <w:ind w:firstLine="480" w:firstLineChars="200"/>
        <w:rPr>
          <w:rFonts w:ascii="宋体" w:hAnsi="宋体"/>
          <w:sz w:val="24"/>
        </w:rPr>
      </w:pPr>
      <w:r>
        <w:rPr>
          <w:rFonts w:hint="eastAsia" w:ascii="宋体" w:hAnsi="宋体"/>
          <w:sz w:val="24"/>
        </w:rPr>
        <w:t>2、学校的目标、任务和学校的规模</w:t>
      </w:r>
    </w:p>
    <w:p>
      <w:pPr>
        <w:spacing w:line="360" w:lineRule="auto"/>
        <w:ind w:firstLine="480" w:firstLineChars="200"/>
        <w:rPr>
          <w:rFonts w:ascii="宋体" w:hAnsi="宋体"/>
          <w:sz w:val="24"/>
        </w:rPr>
      </w:pPr>
      <w:r>
        <w:rPr>
          <w:rFonts w:hint="eastAsia" w:ascii="宋体" w:hAnsi="宋体"/>
          <w:sz w:val="24"/>
        </w:rPr>
        <w:t>3、《广东省中小学教职员编制标准实施办法》粤机编办[2008]73号</w:t>
      </w:r>
    </w:p>
    <w:p>
      <w:pPr>
        <w:spacing w:line="360" w:lineRule="auto"/>
        <w:rPr>
          <w:rFonts w:ascii="宋体" w:hAnsi="宋体"/>
          <w:b/>
          <w:sz w:val="24"/>
        </w:rPr>
      </w:pPr>
      <w:r>
        <w:rPr>
          <w:rFonts w:hint="eastAsia" w:ascii="宋体" w:hAnsi="宋体"/>
          <w:b/>
          <w:sz w:val="24"/>
        </w:rPr>
        <w:t>二、人力资源配置</w:t>
      </w:r>
    </w:p>
    <w:p>
      <w:pPr>
        <w:spacing w:line="360" w:lineRule="auto"/>
        <w:ind w:firstLine="570"/>
        <w:rPr>
          <w:rFonts w:ascii="宋体" w:hAnsi="宋体"/>
          <w:b/>
          <w:sz w:val="24"/>
        </w:rPr>
      </w:pPr>
      <w:r>
        <w:rPr>
          <w:rFonts w:hint="eastAsia" w:ascii="宋体" w:hAnsi="宋体"/>
          <w:b/>
          <w:sz w:val="24"/>
        </w:rPr>
        <w:t>1、学校领导职数配备与机构设置</w:t>
      </w:r>
    </w:p>
    <w:p>
      <w:pPr>
        <w:spacing w:line="360" w:lineRule="auto"/>
        <w:ind w:firstLine="570"/>
        <w:rPr>
          <w:rFonts w:ascii="宋体" w:hAnsi="宋体"/>
          <w:sz w:val="24"/>
        </w:rPr>
      </w:pPr>
      <w:r>
        <w:rPr>
          <w:rFonts w:hint="eastAsia" w:ascii="宋体" w:hAnsi="宋体"/>
          <w:color w:val="auto"/>
          <w:sz w:val="24"/>
        </w:rPr>
        <w:t>本项目在校学生按1620人，</w:t>
      </w:r>
      <w:r>
        <w:rPr>
          <w:rFonts w:hint="eastAsia" w:ascii="宋体" w:hAnsi="宋体"/>
          <w:sz w:val="24"/>
        </w:rPr>
        <w:t>根据《广东省中小学教职员编制标准实施办法》，本项目校级领导职数限额为4名。内设管理机构人员为2人。以上小计6人。</w:t>
      </w:r>
    </w:p>
    <w:p>
      <w:pPr>
        <w:spacing w:line="360" w:lineRule="auto"/>
        <w:ind w:firstLine="570"/>
        <w:rPr>
          <w:rFonts w:ascii="宋体" w:hAnsi="宋体"/>
          <w:b/>
          <w:sz w:val="24"/>
        </w:rPr>
      </w:pPr>
      <w:r>
        <w:rPr>
          <w:rFonts w:hint="eastAsia" w:ascii="宋体" w:hAnsi="宋体"/>
          <w:b/>
          <w:sz w:val="24"/>
        </w:rPr>
        <w:t>2、教职员基本编制标准</w:t>
      </w:r>
    </w:p>
    <w:p>
      <w:pPr>
        <w:spacing w:line="360" w:lineRule="auto"/>
        <w:ind w:firstLine="570"/>
        <w:rPr>
          <w:rFonts w:ascii="宋体" w:hAnsi="宋体"/>
          <w:sz w:val="24"/>
        </w:rPr>
      </w:pPr>
      <w:r>
        <w:rPr>
          <w:rFonts w:hint="eastAsia" w:ascii="宋体" w:hAnsi="宋体"/>
          <w:sz w:val="24"/>
        </w:rPr>
        <w:t>根据《广东省中小学教职员编制标准实施办法》：</w:t>
      </w:r>
    </w:p>
    <w:p>
      <w:pPr>
        <w:spacing w:line="360" w:lineRule="auto"/>
        <w:ind w:firstLine="570"/>
        <w:rPr>
          <w:rFonts w:ascii="宋体" w:hAnsi="宋体"/>
          <w:sz w:val="24"/>
        </w:rPr>
      </w:pPr>
      <w:r>
        <w:rPr>
          <w:rFonts w:hint="eastAsia" w:ascii="宋体" w:hAnsi="宋体"/>
          <w:sz w:val="24"/>
        </w:rPr>
        <w:t>小学城市教职员与学生比为1：19，按此计算，本项目小学部需教职员57人。</w:t>
      </w:r>
    </w:p>
    <w:p>
      <w:pPr>
        <w:spacing w:line="360" w:lineRule="auto"/>
        <w:ind w:firstLine="570"/>
        <w:rPr>
          <w:rFonts w:ascii="宋体" w:hAnsi="宋体"/>
          <w:sz w:val="24"/>
        </w:rPr>
      </w:pPr>
      <w:r>
        <w:rPr>
          <w:rFonts w:hint="eastAsia" w:ascii="宋体" w:hAnsi="宋体"/>
          <w:sz w:val="24"/>
        </w:rPr>
        <w:t>初中城市教职员与学生比为1：13.5，按此计算，本项目初中部需教职员40人</w:t>
      </w:r>
    </w:p>
    <w:p>
      <w:pPr>
        <w:spacing w:line="360" w:lineRule="auto"/>
        <w:ind w:firstLine="570"/>
        <w:rPr>
          <w:rFonts w:ascii="宋体" w:hAnsi="宋体"/>
          <w:sz w:val="24"/>
        </w:rPr>
      </w:pPr>
      <w:r>
        <w:rPr>
          <w:rFonts w:hint="eastAsia" w:ascii="宋体" w:hAnsi="宋体"/>
          <w:sz w:val="24"/>
        </w:rPr>
        <w:t>根据《广东省中小学教职员编制标准实施办法》，为适应我省教育教学改革的需要，省内经济较发达地区可视当地财力情况，经本级机构编制管理机关和教育、财政部门同意，并报地级以上市机构编制管理机关批准后，按标准上浮一定比例（最高不超过50%）核定中小学教职员基本编制。考虑该部分人员编制目前沿无法落实实际编制人数，本项目暂不计算该部分按标准上浮的教职员编制。</w:t>
      </w:r>
    </w:p>
    <w:p>
      <w:pPr>
        <w:spacing w:line="360" w:lineRule="auto"/>
        <w:ind w:firstLine="570"/>
        <w:rPr>
          <w:rFonts w:ascii="宋体" w:hAnsi="宋体"/>
          <w:b/>
          <w:sz w:val="24"/>
        </w:rPr>
      </w:pPr>
      <w:r>
        <w:rPr>
          <w:rFonts w:hint="eastAsia" w:ascii="宋体" w:hAnsi="宋体"/>
          <w:b/>
          <w:sz w:val="24"/>
        </w:rPr>
        <w:t>3、附加编制的核定</w:t>
      </w:r>
    </w:p>
    <w:p>
      <w:pPr>
        <w:spacing w:line="360" w:lineRule="auto"/>
        <w:ind w:firstLine="570"/>
        <w:rPr>
          <w:rFonts w:ascii="宋体" w:hAnsi="宋体"/>
          <w:sz w:val="24"/>
        </w:rPr>
      </w:pPr>
      <w:r>
        <w:rPr>
          <w:rFonts w:hint="eastAsia" w:ascii="宋体" w:hAnsi="宋体"/>
          <w:sz w:val="24"/>
        </w:rPr>
        <w:t>根据《广东省中小学教职员编制标准实施办法》，中小学附加编制总额不得超过其教职员编制总额的10%。具体可参考以下标准核定：</w:t>
      </w:r>
    </w:p>
    <w:p>
      <w:pPr>
        <w:spacing w:line="360" w:lineRule="auto"/>
        <w:ind w:firstLine="570"/>
        <w:rPr>
          <w:rFonts w:ascii="宋体" w:hAnsi="宋体"/>
          <w:sz w:val="24"/>
        </w:rPr>
      </w:pPr>
      <w:r>
        <w:rPr>
          <w:rFonts w:hint="eastAsia" w:ascii="宋体" w:hAnsi="宋体"/>
          <w:sz w:val="24"/>
        </w:rPr>
        <w:t>（1）民族班，每班可增加0.5名编制。本项目暂不计算该附加编制。</w:t>
      </w:r>
    </w:p>
    <w:p>
      <w:pPr>
        <w:spacing w:line="360" w:lineRule="auto"/>
        <w:ind w:firstLine="570"/>
        <w:rPr>
          <w:rFonts w:ascii="宋体" w:hAnsi="宋体"/>
          <w:sz w:val="24"/>
        </w:rPr>
      </w:pPr>
      <w:r>
        <w:rPr>
          <w:rFonts w:hint="eastAsia" w:ascii="宋体" w:hAnsi="宋体"/>
          <w:sz w:val="24"/>
        </w:rPr>
        <w:t>（2）学生数低于本地区小学定编标准学生数的教学点，可增加1名编制；每个年级只有1个班且平均班额低于30人的偏远地区农村小学，可增加3—4名编制。</w:t>
      </w:r>
    </w:p>
    <w:p>
      <w:pPr>
        <w:spacing w:line="360" w:lineRule="auto"/>
        <w:ind w:firstLine="570"/>
        <w:rPr>
          <w:rFonts w:ascii="宋体" w:hAnsi="宋体"/>
          <w:sz w:val="24"/>
        </w:rPr>
      </w:pPr>
      <w:r>
        <w:rPr>
          <w:rFonts w:hint="eastAsia" w:ascii="宋体" w:hAnsi="宋体"/>
          <w:sz w:val="24"/>
        </w:rPr>
        <w:t>本项目暂不计算该附加编制。</w:t>
      </w:r>
    </w:p>
    <w:p>
      <w:pPr>
        <w:spacing w:line="360" w:lineRule="auto"/>
        <w:ind w:firstLine="480" w:firstLineChars="200"/>
        <w:rPr>
          <w:rFonts w:ascii="宋体" w:hAnsi="宋体"/>
          <w:sz w:val="24"/>
        </w:rPr>
      </w:pPr>
      <w:r>
        <w:rPr>
          <w:rFonts w:hint="eastAsia" w:ascii="宋体" w:hAnsi="宋体"/>
          <w:sz w:val="24"/>
        </w:rPr>
        <w:t>（3）负责全乡镇小学、幼儿园业务指导与行政管理工作的乡镇中心小学，其所在乡镇人口5万人以下的可增加3名编制，5—10万人的可增加4名编制，10万人以上的可增加5名编制。本项目暂不计算该附加编制。</w:t>
      </w:r>
    </w:p>
    <w:p>
      <w:pPr>
        <w:spacing w:line="360" w:lineRule="auto"/>
        <w:ind w:firstLine="570"/>
        <w:rPr>
          <w:rFonts w:ascii="宋体" w:hAnsi="宋体"/>
          <w:sz w:val="24"/>
        </w:rPr>
      </w:pPr>
      <w:r>
        <w:rPr>
          <w:rFonts w:hint="eastAsia" w:ascii="宋体" w:hAnsi="宋体"/>
          <w:sz w:val="24"/>
        </w:rPr>
        <w:t>（4）在校学生规模达到1000人的中、小学和九年一贯制学校，在校寄宿生达到200人以上的中小学，以及学生规模达到500人的中小学分校，可增加1名专职心理教师编制。根据该标准，本项目增加1名专职心理教师编制。</w:t>
      </w:r>
    </w:p>
    <w:p>
      <w:pPr>
        <w:spacing w:line="360" w:lineRule="auto"/>
        <w:ind w:firstLine="480" w:firstLineChars="200"/>
        <w:rPr>
          <w:rFonts w:ascii="宋体" w:hAnsi="宋体"/>
          <w:sz w:val="24"/>
        </w:rPr>
      </w:pPr>
      <w:r>
        <w:rPr>
          <w:rFonts w:hint="eastAsia" w:ascii="宋体" w:hAnsi="宋体"/>
          <w:sz w:val="24"/>
        </w:rPr>
        <w:t>（5）有省级、市级教育部门正式文件委托、承担示范和实验项目的中学可增加2—3名专任教师编制，小学可增加1—2名专任教师编制。本项目暂不计算该附加编制。</w:t>
      </w:r>
    </w:p>
    <w:p>
      <w:pPr>
        <w:spacing w:line="360" w:lineRule="auto"/>
        <w:ind w:firstLine="480" w:firstLineChars="200"/>
        <w:rPr>
          <w:rFonts w:ascii="宋体" w:hAnsi="宋体"/>
          <w:sz w:val="24"/>
        </w:rPr>
      </w:pPr>
      <w:r>
        <w:rPr>
          <w:rFonts w:hint="eastAsia" w:ascii="宋体" w:hAnsi="宋体"/>
          <w:sz w:val="24"/>
        </w:rPr>
        <w:t>本项目附加编制总额按照其教职员编制总额的10%，暂定为8人。</w:t>
      </w:r>
    </w:p>
    <w:p>
      <w:pPr>
        <w:spacing w:line="360" w:lineRule="auto"/>
        <w:ind w:firstLine="570"/>
        <w:rPr>
          <w:rFonts w:ascii="宋体" w:hAnsi="宋体"/>
          <w:b/>
          <w:sz w:val="24"/>
        </w:rPr>
      </w:pPr>
      <w:r>
        <w:rPr>
          <w:rFonts w:hint="eastAsia" w:ascii="宋体" w:hAnsi="宋体"/>
          <w:b/>
          <w:sz w:val="24"/>
        </w:rPr>
        <w:t>4、小计</w:t>
      </w:r>
    </w:p>
    <w:p>
      <w:pPr>
        <w:spacing w:line="360" w:lineRule="auto"/>
        <w:ind w:firstLine="570"/>
        <w:rPr>
          <w:rFonts w:ascii="宋体" w:hAnsi="宋体"/>
          <w:sz w:val="24"/>
        </w:rPr>
      </w:pPr>
      <w:r>
        <w:rPr>
          <w:rFonts w:hint="eastAsia" w:ascii="宋体" w:hAnsi="宋体"/>
          <w:sz w:val="24"/>
        </w:rPr>
        <w:t>根据以上各项编制，本项目人力资源配置人数为6+57+40+1=104人。</w:t>
      </w:r>
    </w:p>
    <w:p>
      <w:pPr>
        <w:rPr>
          <w:rFonts w:asciiTheme="minorEastAsia" w:hAnsiTheme="minorEastAsia" w:eastAsiaTheme="minorEastAsia"/>
          <w:b/>
          <w:sz w:val="28"/>
          <w:szCs w:val="28"/>
        </w:rPr>
      </w:pPr>
    </w:p>
    <w:p>
      <w:pPr>
        <w:pStyle w:val="2"/>
        <w:keepNext w:val="0"/>
        <w:keepLines w:val="0"/>
        <w:autoSpaceDE w:val="0"/>
        <w:autoSpaceDN w:val="0"/>
        <w:adjustRightInd w:val="0"/>
        <w:spacing w:before="0" w:after="360" w:line="240" w:lineRule="atLeast"/>
        <w:jc w:val="center"/>
        <w:rPr>
          <w:rFonts w:ascii="宋体" w:hAnsi="宋体"/>
          <w:bCs w:val="0"/>
          <w:kern w:val="2"/>
          <w:sz w:val="36"/>
        </w:rPr>
      </w:pPr>
      <w:bookmarkStart w:id="128" w:name="_Toc498870112"/>
      <w:bookmarkStart w:id="129" w:name="_Toc509584571"/>
      <w:bookmarkStart w:id="130" w:name="_Toc509586077"/>
      <w:bookmarkStart w:id="131" w:name="_Toc515980432"/>
      <w:r>
        <w:rPr>
          <w:rFonts w:hint="eastAsia" w:ascii="宋体" w:hAnsi="宋体"/>
          <w:bCs w:val="0"/>
          <w:kern w:val="2"/>
          <w:sz w:val="36"/>
        </w:rPr>
        <w:t xml:space="preserve">第十四章  </w:t>
      </w:r>
      <w:bookmarkEnd w:id="128"/>
      <w:r>
        <w:rPr>
          <w:rFonts w:hint="eastAsia" w:ascii="宋体" w:hAnsi="宋体"/>
          <w:bCs w:val="0"/>
          <w:kern w:val="2"/>
          <w:sz w:val="36"/>
        </w:rPr>
        <w:t>建设进度计划与工程招投标</w:t>
      </w:r>
      <w:bookmarkEnd w:id="129"/>
      <w:bookmarkEnd w:id="130"/>
      <w:bookmarkEnd w:id="131"/>
    </w:p>
    <w:p>
      <w:pPr>
        <w:pStyle w:val="3"/>
      </w:pPr>
      <w:bookmarkStart w:id="132" w:name="_Toc509586078"/>
      <w:bookmarkStart w:id="133" w:name="_Toc515980433"/>
      <w:r>
        <w:rPr>
          <w:rFonts w:hint="eastAsia"/>
        </w:rPr>
        <w:t>14.1  项目建设进度计划</w:t>
      </w:r>
      <w:bookmarkEnd w:id="132"/>
      <w:bookmarkEnd w:id="133"/>
    </w:p>
    <w:p>
      <w:pPr>
        <w:spacing w:line="360" w:lineRule="auto"/>
        <w:ind w:firstLine="480" w:firstLineChars="200"/>
        <w:rPr>
          <w:rFonts w:ascii="宋体" w:hAnsi="宋体"/>
          <w:sz w:val="24"/>
        </w:rPr>
      </w:pPr>
      <w:r>
        <w:rPr>
          <w:rFonts w:hint="eastAsia" w:ascii="宋体" w:hAnsi="宋体"/>
          <w:sz w:val="24"/>
        </w:rPr>
        <w:t>本项目计划2018年11月开工，2019年</w:t>
      </w:r>
      <w:r>
        <w:rPr>
          <w:rFonts w:hint="eastAsia" w:ascii="宋体" w:hAnsi="宋体"/>
          <w:sz w:val="24"/>
          <w:lang w:val="en-US" w:eastAsia="zh-CN"/>
        </w:rPr>
        <w:t>8</w:t>
      </w:r>
      <w:r>
        <w:rPr>
          <w:rFonts w:hint="eastAsia" w:ascii="宋体" w:hAnsi="宋体"/>
          <w:sz w:val="24"/>
        </w:rPr>
        <w:t>月完工，9月正式投入使用。</w:t>
      </w:r>
    </w:p>
    <w:p>
      <w:pPr>
        <w:spacing w:line="360" w:lineRule="auto"/>
        <w:ind w:firstLine="480" w:firstLineChars="200"/>
        <w:jc w:val="left"/>
        <w:rPr>
          <w:rFonts w:ascii="宋体" w:hAnsi="宋体"/>
          <w:sz w:val="24"/>
        </w:rPr>
      </w:pPr>
      <w:r>
        <w:rPr>
          <w:rFonts w:hint="eastAsia" w:ascii="宋体" w:hAnsi="宋体"/>
          <w:sz w:val="24"/>
        </w:rPr>
        <w:t>2018年6月 完成项目的立项、可研编制等；</w:t>
      </w:r>
    </w:p>
    <w:p>
      <w:pPr>
        <w:spacing w:line="360" w:lineRule="auto"/>
        <w:ind w:firstLine="480" w:firstLineChars="200"/>
        <w:jc w:val="left"/>
        <w:rPr>
          <w:rFonts w:ascii="宋体" w:hAnsi="宋体"/>
          <w:sz w:val="24"/>
        </w:rPr>
      </w:pPr>
      <w:r>
        <w:rPr>
          <w:rFonts w:hint="eastAsia" w:ascii="宋体" w:hAnsi="宋体"/>
          <w:sz w:val="24"/>
        </w:rPr>
        <w:t>2018年7月-2018年9月 完成设计施工招标等前期工作；</w:t>
      </w:r>
    </w:p>
    <w:p>
      <w:pPr>
        <w:spacing w:line="360" w:lineRule="auto"/>
        <w:ind w:firstLine="480" w:firstLineChars="200"/>
        <w:jc w:val="left"/>
        <w:rPr>
          <w:rFonts w:ascii="宋体" w:hAnsi="宋体"/>
          <w:sz w:val="24"/>
        </w:rPr>
      </w:pPr>
      <w:r>
        <w:rPr>
          <w:rFonts w:hint="eastAsia" w:ascii="宋体" w:hAnsi="宋体"/>
          <w:sz w:val="24"/>
        </w:rPr>
        <w:t>2018年10月-2018年12月 完成地下土建工程；</w:t>
      </w:r>
    </w:p>
    <w:p>
      <w:pPr>
        <w:spacing w:line="360" w:lineRule="auto"/>
        <w:ind w:firstLine="480" w:firstLineChars="200"/>
        <w:jc w:val="left"/>
        <w:rPr>
          <w:rFonts w:ascii="宋体" w:hAnsi="宋体"/>
          <w:sz w:val="24"/>
        </w:rPr>
      </w:pPr>
      <w:r>
        <w:rPr>
          <w:rFonts w:hint="eastAsia" w:ascii="宋体" w:hAnsi="宋体"/>
          <w:sz w:val="24"/>
        </w:rPr>
        <w:t>2019年1月-2019年06月完成教学楼及校内配套设施土建工程；</w:t>
      </w:r>
    </w:p>
    <w:p>
      <w:pPr>
        <w:spacing w:line="360" w:lineRule="auto"/>
        <w:ind w:firstLine="480" w:firstLineChars="200"/>
        <w:jc w:val="left"/>
        <w:rPr>
          <w:rFonts w:ascii="宋体" w:hAnsi="宋体"/>
          <w:sz w:val="24"/>
        </w:rPr>
      </w:pPr>
      <w:r>
        <w:rPr>
          <w:rFonts w:hint="eastAsia" w:ascii="宋体" w:hAnsi="宋体"/>
          <w:sz w:val="24"/>
        </w:rPr>
        <w:t>2019年6月-2019年0</w:t>
      </w:r>
      <w:r>
        <w:rPr>
          <w:rFonts w:hint="eastAsia" w:ascii="宋体" w:hAnsi="宋体"/>
          <w:sz w:val="24"/>
          <w:lang w:val="en-US" w:eastAsia="zh-CN"/>
        </w:rPr>
        <w:t>8</w:t>
      </w:r>
      <w:r>
        <w:rPr>
          <w:rFonts w:hint="eastAsia" w:ascii="宋体" w:hAnsi="宋体"/>
          <w:sz w:val="24"/>
        </w:rPr>
        <w:t>月完成教学楼的土建工程的所有装饰工程；</w:t>
      </w:r>
    </w:p>
    <w:p>
      <w:pPr>
        <w:spacing w:line="360" w:lineRule="auto"/>
        <w:ind w:firstLine="480" w:firstLineChars="200"/>
        <w:jc w:val="left"/>
        <w:rPr>
          <w:rFonts w:ascii="宋体" w:hAnsi="宋体"/>
          <w:sz w:val="24"/>
        </w:rPr>
      </w:pPr>
      <w:r>
        <w:rPr>
          <w:rFonts w:hint="eastAsia" w:ascii="宋体" w:hAnsi="宋体"/>
          <w:sz w:val="24"/>
        </w:rPr>
        <w:t>具体见下表：</w:t>
      </w:r>
      <w:bookmarkStart w:id="181" w:name="_GoBack"/>
      <w:bookmarkEnd w:id="181"/>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p>
    <w:p>
      <w:pPr>
        <w:spacing w:line="360" w:lineRule="auto"/>
        <w:jc w:val="center"/>
        <w:rPr>
          <w:rFonts w:ascii="宋体" w:hAnsi="宋体"/>
          <w:b/>
          <w:sz w:val="24"/>
        </w:rPr>
      </w:pPr>
      <w:r>
        <w:rPr>
          <w:rFonts w:hint="eastAsia" w:ascii="宋体" w:hAnsi="宋体"/>
          <w:b/>
          <w:sz w:val="24"/>
        </w:rPr>
        <w:t>项目进度计划表</w:t>
      </w:r>
    </w:p>
    <w:tbl>
      <w:tblPr>
        <w:tblStyle w:val="19"/>
        <w:tblW w:w="6344" w:type="dxa"/>
        <w:jc w:val="center"/>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712"/>
        <w:gridCol w:w="738"/>
        <w:gridCol w:w="1072"/>
        <w:gridCol w:w="1134"/>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atLeast"/>
          <w:jc w:val="center"/>
        </w:trPr>
        <w:tc>
          <w:tcPr>
            <w:tcW w:w="1778" w:type="dxa"/>
            <w:vMerge w:val="restart"/>
            <w:vAlign w:val="center"/>
          </w:tcPr>
          <w:p>
            <w:pPr>
              <w:spacing w:line="360" w:lineRule="auto"/>
              <w:ind w:firstLine="960" w:firstLineChars="400"/>
              <w:jc w:val="left"/>
              <w:rPr>
                <w:rFonts w:ascii="宋体" w:hAnsi="宋体"/>
                <w:sz w:val="24"/>
              </w:rPr>
            </w:pPr>
            <w:r>
              <w:rPr>
                <w:rFonts w:ascii="宋体" w:hAnsi="宋体"/>
                <w:sz w:val="24"/>
              </w:rPr>
              <w:pict>
                <v:line id="_x0000_s1109" o:spid="_x0000_s1109" o:spt="20" style="position:absolute;left:0pt;margin-left:-5pt;margin-top:4.45pt;height:87pt;width:90pt;z-index:251710464;mso-width-relative:page;mso-height-relative:page;" coordsize="21600,21600">
                  <v:path arrowok="t"/>
                  <v:fill focussize="0,0"/>
                  <v:stroke weight="1pt"/>
                  <v:imagedata o:title=""/>
                  <o:lock v:ext="edit"/>
                </v:line>
              </w:pict>
            </w:r>
            <w:r>
              <w:rPr>
                <w:rFonts w:ascii="宋体" w:hAnsi="宋体"/>
                <w:sz w:val="24"/>
              </w:rPr>
              <w:pict>
                <v:line id="_x0000_s1108" o:spid="_x0000_s1108" o:spt="20" style="position:absolute;left:0pt;margin-left:-5pt;margin-top:4.45pt;height:29pt;width:90pt;z-index:251709440;mso-width-relative:page;mso-height-relative:page;" coordsize="21600,21600">
                  <v:path arrowok="t"/>
                  <v:fill focussize="0,0"/>
                  <v:stroke weight="1pt"/>
                  <v:imagedata o:title=""/>
                  <o:lock v:ext="edit"/>
                </v:line>
              </w:pict>
            </w:r>
            <w:r>
              <w:rPr>
                <w:rFonts w:hint="eastAsia" w:ascii="宋体" w:hAnsi="宋体"/>
                <w:sz w:val="24"/>
              </w:rPr>
              <w:t>年份</w:t>
            </w:r>
          </w:p>
          <w:p>
            <w:pPr>
              <w:spacing w:line="360" w:lineRule="auto"/>
              <w:ind w:firstLine="960" w:firstLineChars="400"/>
              <w:jc w:val="left"/>
              <w:rPr>
                <w:rFonts w:ascii="宋体" w:hAnsi="宋体"/>
                <w:sz w:val="24"/>
              </w:rPr>
            </w:pPr>
            <w:r>
              <w:rPr>
                <w:rFonts w:hint="eastAsia" w:ascii="宋体" w:hAnsi="宋体"/>
                <w:sz w:val="24"/>
              </w:rPr>
              <w:t>月</w:t>
            </w:r>
          </w:p>
          <w:p>
            <w:pPr>
              <w:spacing w:line="360" w:lineRule="auto"/>
              <w:jc w:val="left"/>
              <w:rPr>
                <w:rFonts w:ascii="宋体" w:hAnsi="宋体"/>
                <w:sz w:val="24"/>
              </w:rPr>
            </w:pPr>
            <w:r>
              <w:rPr>
                <w:rFonts w:hint="eastAsia" w:ascii="宋体" w:hAnsi="宋体"/>
                <w:sz w:val="24"/>
              </w:rPr>
              <w:t>工作内容</w:t>
            </w:r>
          </w:p>
        </w:tc>
        <w:tc>
          <w:tcPr>
            <w:tcW w:w="2522" w:type="dxa"/>
            <w:gridSpan w:val="3"/>
          </w:tcPr>
          <w:p>
            <w:pPr>
              <w:spacing w:line="360" w:lineRule="auto"/>
              <w:jc w:val="center"/>
              <w:rPr>
                <w:rFonts w:ascii="宋体" w:hAnsi="宋体"/>
                <w:sz w:val="24"/>
              </w:rPr>
            </w:pPr>
            <w:r>
              <w:rPr>
                <w:rFonts w:hint="eastAsia" w:ascii="宋体" w:hAnsi="宋体"/>
                <w:sz w:val="24"/>
              </w:rPr>
              <w:t>2018年</w:t>
            </w:r>
          </w:p>
        </w:tc>
        <w:tc>
          <w:tcPr>
            <w:tcW w:w="2044" w:type="dxa"/>
            <w:gridSpan w:val="2"/>
            <w:shd w:val="clear" w:color="auto" w:fill="auto"/>
          </w:tcPr>
          <w:p>
            <w:pPr>
              <w:spacing w:line="360" w:lineRule="auto"/>
              <w:jc w:val="center"/>
              <w:rPr>
                <w:rFonts w:ascii="宋体" w:hAnsi="宋体"/>
                <w:sz w:val="24"/>
              </w:rPr>
            </w:pPr>
            <w:r>
              <w:rPr>
                <w:rFonts w:hint="eastAsia" w:ascii="宋体" w:hAnsi="宋体"/>
                <w:sz w:val="24"/>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7" w:hRule="atLeast"/>
          <w:jc w:val="center"/>
        </w:trPr>
        <w:tc>
          <w:tcPr>
            <w:tcW w:w="1778" w:type="dxa"/>
            <w:vMerge w:val="continue"/>
            <w:vAlign w:val="center"/>
          </w:tcPr>
          <w:p>
            <w:pPr>
              <w:spacing w:line="360" w:lineRule="auto"/>
              <w:jc w:val="left"/>
              <w:rPr>
                <w:rFonts w:ascii="宋体" w:hAnsi="宋体"/>
                <w:sz w:val="24"/>
              </w:rPr>
            </w:pPr>
          </w:p>
        </w:tc>
        <w:tc>
          <w:tcPr>
            <w:tcW w:w="712" w:type="dxa"/>
            <w:vAlign w:val="center"/>
          </w:tcPr>
          <w:p>
            <w:pPr>
              <w:spacing w:line="360" w:lineRule="auto"/>
              <w:jc w:val="left"/>
              <w:rPr>
                <w:rFonts w:ascii="宋体" w:hAnsi="宋体"/>
                <w:sz w:val="24"/>
              </w:rPr>
            </w:pPr>
            <w:r>
              <w:rPr>
                <w:rFonts w:hint="eastAsia" w:ascii="宋体" w:hAnsi="宋体"/>
                <w:sz w:val="24"/>
              </w:rPr>
              <w:t>1-6</w:t>
            </w:r>
          </w:p>
        </w:tc>
        <w:tc>
          <w:tcPr>
            <w:tcW w:w="738" w:type="dxa"/>
            <w:vAlign w:val="center"/>
          </w:tcPr>
          <w:p>
            <w:pPr>
              <w:spacing w:line="360" w:lineRule="auto"/>
              <w:jc w:val="left"/>
              <w:rPr>
                <w:rFonts w:ascii="宋体" w:hAnsi="宋体"/>
                <w:sz w:val="24"/>
              </w:rPr>
            </w:pPr>
            <w:r>
              <w:rPr>
                <w:rFonts w:hint="eastAsia" w:ascii="宋体" w:hAnsi="宋体"/>
                <w:sz w:val="24"/>
              </w:rPr>
              <w:t>7-9</w:t>
            </w:r>
          </w:p>
        </w:tc>
        <w:tc>
          <w:tcPr>
            <w:tcW w:w="1072" w:type="dxa"/>
            <w:vAlign w:val="center"/>
          </w:tcPr>
          <w:p>
            <w:pPr>
              <w:spacing w:line="360" w:lineRule="auto"/>
              <w:jc w:val="left"/>
              <w:rPr>
                <w:rFonts w:ascii="宋体" w:hAnsi="宋体"/>
                <w:sz w:val="24"/>
              </w:rPr>
            </w:pPr>
            <w:r>
              <w:rPr>
                <w:rFonts w:hint="eastAsia" w:ascii="宋体" w:hAnsi="宋体"/>
                <w:sz w:val="24"/>
              </w:rPr>
              <w:t>10-12</w:t>
            </w:r>
          </w:p>
        </w:tc>
        <w:tc>
          <w:tcPr>
            <w:tcW w:w="1134" w:type="dxa"/>
            <w:vAlign w:val="center"/>
          </w:tcPr>
          <w:p>
            <w:pPr>
              <w:spacing w:line="360" w:lineRule="auto"/>
              <w:jc w:val="left"/>
              <w:rPr>
                <w:rFonts w:ascii="宋体" w:hAnsi="宋体"/>
                <w:sz w:val="24"/>
              </w:rPr>
            </w:pPr>
            <w:r>
              <w:rPr>
                <w:rFonts w:hint="eastAsia" w:ascii="宋体" w:hAnsi="宋体"/>
                <w:sz w:val="24"/>
              </w:rPr>
              <w:t>1-6</w:t>
            </w:r>
          </w:p>
        </w:tc>
        <w:tc>
          <w:tcPr>
            <w:tcW w:w="910" w:type="dxa"/>
            <w:vAlign w:val="center"/>
          </w:tcPr>
          <w:p>
            <w:pPr>
              <w:spacing w:line="360" w:lineRule="auto"/>
              <w:jc w:val="left"/>
              <w:rPr>
                <w:rFonts w:ascii="宋体" w:hAnsi="宋体"/>
                <w:sz w:val="24"/>
              </w:rPr>
            </w:pPr>
            <w:r>
              <w:rPr>
                <w:rFonts w:hint="eastAsia" w:ascii="宋体" w:hAnsi="宋体"/>
                <w:sz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778" w:type="dxa"/>
            <w:vAlign w:val="center"/>
          </w:tcPr>
          <w:p>
            <w:pPr>
              <w:spacing w:line="360" w:lineRule="auto"/>
              <w:jc w:val="left"/>
              <w:rPr>
                <w:rFonts w:ascii="宋体" w:hAnsi="宋体"/>
                <w:sz w:val="24"/>
              </w:rPr>
            </w:pPr>
            <w:r>
              <w:rPr>
                <w:rFonts w:hint="eastAsia" w:ascii="宋体" w:hAnsi="宋体"/>
                <w:sz w:val="24"/>
              </w:rPr>
              <w:t>编可研、项目立项</w:t>
            </w:r>
          </w:p>
        </w:tc>
        <w:tc>
          <w:tcPr>
            <w:tcW w:w="712" w:type="dxa"/>
            <w:vAlign w:val="center"/>
          </w:tcPr>
          <w:p>
            <w:pPr>
              <w:spacing w:line="360" w:lineRule="auto"/>
              <w:jc w:val="left"/>
              <w:rPr>
                <w:rFonts w:ascii="宋体" w:hAnsi="宋体"/>
                <w:sz w:val="24"/>
              </w:rPr>
            </w:pPr>
            <w:r>
              <w:rPr>
                <w:rFonts w:ascii="宋体" w:hAnsi="宋体"/>
                <w:sz w:val="24"/>
              </w:rPr>
              <w:pict>
                <v:line id="_x0000_s1103" o:spid="_x0000_s1103" o:spt="20" style="position:absolute;left:0pt;margin-left:-3.9pt;margin-top:24.1pt;height:0pt;width:36pt;z-index:251704320;mso-width-relative:page;mso-height-relative:page;" coordsize="21600,21600">
                  <v:path arrowok="t"/>
                  <v:fill focussize="0,0"/>
                  <v:stroke weight="3pt"/>
                  <v:imagedata o:title=""/>
                  <o:lock v:ext="edit"/>
                </v:line>
              </w:pict>
            </w:r>
          </w:p>
        </w:tc>
        <w:tc>
          <w:tcPr>
            <w:tcW w:w="738" w:type="dxa"/>
            <w:vAlign w:val="center"/>
          </w:tcPr>
          <w:p>
            <w:pPr>
              <w:spacing w:line="360" w:lineRule="auto"/>
              <w:jc w:val="left"/>
              <w:rPr>
                <w:rFonts w:ascii="宋体" w:hAnsi="宋体"/>
                <w:sz w:val="24"/>
              </w:rPr>
            </w:pPr>
          </w:p>
        </w:tc>
        <w:tc>
          <w:tcPr>
            <w:tcW w:w="1072" w:type="dxa"/>
          </w:tcPr>
          <w:p>
            <w:pPr>
              <w:spacing w:line="360" w:lineRule="auto"/>
              <w:jc w:val="left"/>
              <w:rPr>
                <w:rFonts w:ascii="宋体" w:hAnsi="宋体"/>
                <w:sz w:val="24"/>
              </w:rPr>
            </w:pPr>
          </w:p>
        </w:tc>
        <w:tc>
          <w:tcPr>
            <w:tcW w:w="1134" w:type="dxa"/>
          </w:tcPr>
          <w:p>
            <w:pPr>
              <w:spacing w:line="360" w:lineRule="auto"/>
              <w:jc w:val="left"/>
              <w:rPr>
                <w:rFonts w:ascii="宋体" w:hAnsi="宋体"/>
                <w:sz w:val="24"/>
              </w:rPr>
            </w:pPr>
          </w:p>
        </w:tc>
        <w:tc>
          <w:tcPr>
            <w:tcW w:w="910" w:type="dxa"/>
          </w:tcPr>
          <w:p>
            <w:pPr>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778" w:type="dxa"/>
            <w:vAlign w:val="center"/>
          </w:tcPr>
          <w:p>
            <w:pPr>
              <w:spacing w:line="360" w:lineRule="auto"/>
              <w:jc w:val="left"/>
              <w:rPr>
                <w:rFonts w:ascii="宋体" w:hAnsi="宋体"/>
                <w:sz w:val="24"/>
              </w:rPr>
            </w:pPr>
            <w:r>
              <w:rPr>
                <w:rFonts w:hint="eastAsia" w:ascii="宋体" w:hAnsi="宋体"/>
                <w:sz w:val="24"/>
              </w:rPr>
              <w:t>项目招标等前期工作</w:t>
            </w:r>
          </w:p>
        </w:tc>
        <w:tc>
          <w:tcPr>
            <w:tcW w:w="712" w:type="dxa"/>
            <w:vAlign w:val="center"/>
          </w:tcPr>
          <w:p>
            <w:pPr>
              <w:spacing w:line="360" w:lineRule="auto"/>
              <w:jc w:val="left"/>
              <w:rPr>
                <w:rFonts w:ascii="宋体" w:hAnsi="宋体"/>
                <w:sz w:val="24"/>
              </w:rPr>
            </w:pPr>
          </w:p>
        </w:tc>
        <w:tc>
          <w:tcPr>
            <w:tcW w:w="738" w:type="dxa"/>
            <w:vAlign w:val="center"/>
          </w:tcPr>
          <w:p>
            <w:pPr>
              <w:spacing w:line="360" w:lineRule="auto"/>
              <w:jc w:val="left"/>
              <w:rPr>
                <w:rFonts w:ascii="宋体" w:hAnsi="宋体"/>
                <w:sz w:val="24"/>
              </w:rPr>
            </w:pPr>
            <w:r>
              <w:rPr>
                <w:rFonts w:ascii="宋体" w:hAnsi="宋体"/>
                <w:sz w:val="24"/>
              </w:rPr>
              <w:pict>
                <v:line id="_x0000_s1104" o:spid="_x0000_s1104" o:spt="20" style="position:absolute;left:0pt;margin-left:-3.5pt;margin-top:20.3pt;height:0pt;width:36pt;z-index:251705344;mso-width-relative:page;mso-height-relative:page;" coordsize="21600,21600">
                  <v:path arrowok="t"/>
                  <v:fill focussize="0,0"/>
                  <v:stroke weight="3pt"/>
                  <v:imagedata o:title=""/>
                  <o:lock v:ext="edit"/>
                </v:line>
              </w:pict>
            </w:r>
          </w:p>
        </w:tc>
        <w:tc>
          <w:tcPr>
            <w:tcW w:w="1072" w:type="dxa"/>
            <w:vAlign w:val="center"/>
          </w:tcPr>
          <w:p>
            <w:pPr>
              <w:spacing w:line="360" w:lineRule="auto"/>
              <w:jc w:val="left"/>
              <w:rPr>
                <w:rFonts w:ascii="宋体" w:hAnsi="宋体"/>
                <w:sz w:val="24"/>
              </w:rPr>
            </w:pPr>
          </w:p>
        </w:tc>
        <w:tc>
          <w:tcPr>
            <w:tcW w:w="1134" w:type="dxa"/>
          </w:tcPr>
          <w:p>
            <w:pPr>
              <w:spacing w:line="360" w:lineRule="auto"/>
              <w:jc w:val="left"/>
              <w:rPr>
                <w:rFonts w:ascii="宋体" w:hAnsi="宋体"/>
                <w:sz w:val="24"/>
              </w:rPr>
            </w:pPr>
          </w:p>
        </w:tc>
        <w:tc>
          <w:tcPr>
            <w:tcW w:w="910" w:type="dxa"/>
          </w:tcPr>
          <w:p>
            <w:pPr>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778" w:type="dxa"/>
            <w:vAlign w:val="center"/>
          </w:tcPr>
          <w:p>
            <w:pPr>
              <w:spacing w:line="360" w:lineRule="auto"/>
              <w:jc w:val="left"/>
              <w:rPr>
                <w:rFonts w:ascii="宋体" w:hAnsi="宋体"/>
                <w:sz w:val="24"/>
              </w:rPr>
            </w:pPr>
            <w:r>
              <w:rPr>
                <w:rFonts w:hint="eastAsia" w:ascii="宋体" w:hAnsi="宋体"/>
                <w:sz w:val="24"/>
              </w:rPr>
              <w:t>地下土建及装修工程</w:t>
            </w:r>
          </w:p>
        </w:tc>
        <w:tc>
          <w:tcPr>
            <w:tcW w:w="712" w:type="dxa"/>
            <w:vAlign w:val="center"/>
          </w:tcPr>
          <w:p>
            <w:pPr>
              <w:spacing w:line="360" w:lineRule="auto"/>
              <w:jc w:val="left"/>
              <w:rPr>
                <w:rFonts w:ascii="宋体" w:hAnsi="宋体"/>
                <w:sz w:val="24"/>
              </w:rPr>
            </w:pPr>
          </w:p>
        </w:tc>
        <w:tc>
          <w:tcPr>
            <w:tcW w:w="738" w:type="dxa"/>
            <w:vAlign w:val="center"/>
          </w:tcPr>
          <w:p>
            <w:pPr>
              <w:spacing w:line="360" w:lineRule="auto"/>
              <w:jc w:val="left"/>
              <w:rPr>
                <w:rFonts w:ascii="宋体" w:hAnsi="宋体"/>
                <w:sz w:val="24"/>
              </w:rPr>
            </w:pPr>
          </w:p>
        </w:tc>
        <w:tc>
          <w:tcPr>
            <w:tcW w:w="1072" w:type="dxa"/>
          </w:tcPr>
          <w:p>
            <w:pPr>
              <w:spacing w:line="360" w:lineRule="auto"/>
              <w:jc w:val="left"/>
              <w:rPr>
                <w:rFonts w:ascii="宋体" w:hAnsi="宋体"/>
                <w:sz w:val="24"/>
              </w:rPr>
            </w:pPr>
            <w:r>
              <w:rPr>
                <w:rFonts w:ascii="宋体" w:hAnsi="宋体"/>
                <w:sz w:val="24"/>
              </w:rPr>
              <w:pict>
                <v:line id="_x0000_s1105" o:spid="_x0000_s1105" o:spt="20" style="position:absolute;left:0pt;margin-left:-4.4pt;margin-top:16.5pt;height:0pt;width:48.6pt;z-index:251706368;mso-width-relative:page;mso-height-relative:page;" coordsize="21600,21600">
                  <v:path arrowok="t"/>
                  <v:fill focussize="0,0"/>
                  <v:stroke weight="3pt"/>
                  <v:imagedata o:title=""/>
                  <o:lock v:ext="edit"/>
                </v:line>
              </w:pict>
            </w:r>
          </w:p>
        </w:tc>
        <w:tc>
          <w:tcPr>
            <w:tcW w:w="1134" w:type="dxa"/>
          </w:tcPr>
          <w:p>
            <w:pPr>
              <w:spacing w:line="360" w:lineRule="auto"/>
              <w:jc w:val="left"/>
              <w:rPr>
                <w:rFonts w:ascii="宋体" w:hAnsi="宋体"/>
                <w:sz w:val="24"/>
              </w:rPr>
            </w:pPr>
          </w:p>
        </w:tc>
        <w:tc>
          <w:tcPr>
            <w:tcW w:w="910" w:type="dxa"/>
            <w:vAlign w:val="center"/>
          </w:tcPr>
          <w:p>
            <w:pPr>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778" w:type="dxa"/>
            <w:vAlign w:val="center"/>
          </w:tcPr>
          <w:p>
            <w:pPr>
              <w:spacing w:line="360" w:lineRule="auto"/>
              <w:jc w:val="left"/>
              <w:rPr>
                <w:rFonts w:ascii="宋体" w:hAnsi="宋体"/>
                <w:sz w:val="24"/>
              </w:rPr>
            </w:pPr>
            <w:r>
              <w:rPr>
                <w:rFonts w:hint="eastAsia" w:ascii="宋体" w:hAnsi="宋体"/>
                <w:sz w:val="24"/>
              </w:rPr>
              <w:t>教学楼及校园配套设施住楼土建工程</w:t>
            </w:r>
          </w:p>
        </w:tc>
        <w:tc>
          <w:tcPr>
            <w:tcW w:w="712" w:type="dxa"/>
            <w:vAlign w:val="center"/>
          </w:tcPr>
          <w:p>
            <w:pPr>
              <w:spacing w:line="360" w:lineRule="auto"/>
              <w:jc w:val="left"/>
              <w:rPr>
                <w:rFonts w:ascii="宋体" w:hAnsi="宋体"/>
                <w:sz w:val="24"/>
              </w:rPr>
            </w:pPr>
          </w:p>
        </w:tc>
        <w:tc>
          <w:tcPr>
            <w:tcW w:w="738" w:type="dxa"/>
            <w:vAlign w:val="center"/>
          </w:tcPr>
          <w:p>
            <w:pPr>
              <w:spacing w:line="360" w:lineRule="auto"/>
              <w:jc w:val="left"/>
              <w:rPr>
                <w:rFonts w:ascii="宋体" w:hAnsi="宋体"/>
                <w:sz w:val="24"/>
              </w:rPr>
            </w:pPr>
          </w:p>
        </w:tc>
        <w:tc>
          <w:tcPr>
            <w:tcW w:w="1072" w:type="dxa"/>
          </w:tcPr>
          <w:p>
            <w:pPr>
              <w:spacing w:line="360" w:lineRule="auto"/>
              <w:jc w:val="left"/>
              <w:rPr>
                <w:rFonts w:ascii="宋体" w:hAnsi="宋体"/>
                <w:sz w:val="24"/>
              </w:rPr>
            </w:pPr>
          </w:p>
        </w:tc>
        <w:tc>
          <w:tcPr>
            <w:tcW w:w="1134" w:type="dxa"/>
          </w:tcPr>
          <w:p>
            <w:pPr>
              <w:spacing w:line="360" w:lineRule="auto"/>
              <w:jc w:val="left"/>
              <w:rPr>
                <w:rFonts w:ascii="宋体" w:hAnsi="宋体"/>
                <w:sz w:val="24"/>
              </w:rPr>
            </w:pPr>
            <w:r>
              <w:rPr>
                <w:rFonts w:ascii="宋体" w:hAnsi="宋体"/>
                <w:sz w:val="24"/>
              </w:rPr>
              <w:pict>
                <v:line id="_x0000_s1106" o:spid="_x0000_s1106" o:spt="20" style="position:absolute;left:0pt;margin-left:-4pt;margin-top:19.95pt;height:0pt;width:36pt;z-index:251707392;mso-width-relative:page;mso-height-relative:page;" coordsize="21600,21600">
                  <v:path arrowok="t"/>
                  <v:fill focussize="0,0"/>
                  <v:stroke weight="3pt"/>
                  <v:imagedata o:title=""/>
                  <o:lock v:ext="edit"/>
                </v:line>
              </w:pict>
            </w:r>
          </w:p>
        </w:tc>
        <w:tc>
          <w:tcPr>
            <w:tcW w:w="910" w:type="dxa"/>
            <w:vAlign w:val="center"/>
          </w:tcPr>
          <w:p>
            <w:pPr>
              <w:spacing w:line="360" w:lineRule="auto"/>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778" w:type="dxa"/>
            <w:vAlign w:val="center"/>
          </w:tcPr>
          <w:p>
            <w:pPr>
              <w:spacing w:line="360" w:lineRule="auto"/>
              <w:jc w:val="left"/>
              <w:rPr>
                <w:rFonts w:ascii="宋体" w:hAnsi="宋体"/>
                <w:sz w:val="24"/>
              </w:rPr>
            </w:pPr>
            <w:r>
              <w:rPr>
                <w:rFonts w:hint="eastAsia" w:ascii="宋体" w:hAnsi="宋体"/>
                <w:sz w:val="24"/>
              </w:rPr>
              <w:t>教学楼及校园配套设施土建工程所有装饰工程；</w:t>
            </w:r>
          </w:p>
        </w:tc>
        <w:tc>
          <w:tcPr>
            <w:tcW w:w="712" w:type="dxa"/>
            <w:vAlign w:val="center"/>
          </w:tcPr>
          <w:p>
            <w:pPr>
              <w:spacing w:line="360" w:lineRule="auto"/>
              <w:jc w:val="left"/>
              <w:rPr>
                <w:rFonts w:ascii="宋体" w:hAnsi="宋体"/>
                <w:sz w:val="24"/>
              </w:rPr>
            </w:pPr>
          </w:p>
        </w:tc>
        <w:tc>
          <w:tcPr>
            <w:tcW w:w="738" w:type="dxa"/>
            <w:vAlign w:val="center"/>
          </w:tcPr>
          <w:p>
            <w:pPr>
              <w:spacing w:line="360" w:lineRule="auto"/>
              <w:jc w:val="left"/>
              <w:rPr>
                <w:rFonts w:ascii="宋体" w:hAnsi="宋体"/>
                <w:sz w:val="24"/>
              </w:rPr>
            </w:pPr>
          </w:p>
        </w:tc>
        <w:tc>
          <w:tcPr>
            <w:tcW w:w="1072" w:type="dxa"/>
          </w:tcPr>
          <w:p>
            <w:pPr>
              <w:spacing w:line="360" w:lineRule="auto"/>
              <w:jc w:val="left"/>
              <w:rPr>
                <w:rFonts w:ascii="宋体" w:hAnsi="宋体"/>
                <w:sz w:val="24"/>
              </w:rPr>
            </w:pPr>
          </w:p>
        </w:tc>
        <w:tc>
          <w:tcPr>
            <w:tcW w:w="1134" w:type="dxa"/>
          </w:tcPr>
          <w:p>
            <w:pPr>
              <w:spacing w:line="360" w:lineRule="auto"/>
              <w:jc w:val="left"/>
              <w:rPr>
                <w:rFonts w:ascii="宋体" w:hAnsi="宋体"/>
                <w:sz w:val="24"/>
              </w:rPr>
            </w:pPr>
            <w:r>
              <w:rPr>
                <w:rFonts w:ascii="宋体" w:hAnsi="宋体"/>
                <w:sz w:val="24"/>
              </w:rPr>
              <w:pict>
                <v:line id="_x0000_s1107" o:spid="_x0000_s1107" o:spt="20" style="position:absolute;left:0pt;margin-left:32pt;margin-top:29pt;height:0pt;width:36pt;z-index:251708416;mso-width-relative:page;mso-height-relative:page;" coordsize="21600,21600">
                  <v:path arrowok="t"/>
                  <v:fill focussize="0,0"/>
                  <v:stroke weight="3pt"/>
                  <v:imagedata o:title=""/>
                  <o:lock v:ext="edit"/>
                </v:line>
              </w:pict>
            </w:r>
          </w:p>
        </w:tc>
        <w:tc>
          <w:tcPr>
            <w:tcW w:w="910" w:type="dxa"/>
          </w:tcPr>
          <w:p>
            <w:pPr>
              <w:spacing w:line="360" w:lineRule="auto"/>
              <w:jc w:val="left"/>
              <w:rPr>
                <w:rFonts w:ascii="宋体" w:hAnsi="宋体"/>
                <w:sz w:val="24"/>
              </w:rPr>
            </w:pPr>
          </w:p>
        </w:tc>
      </w:tr>
    </w:tbl>
    <w:p>
      <w:pPr>
        <w:spacing w:line="360" w:lineRule="auto"/>
        <w:ind w:firstLine="420" w:firstLineChars="200"/>
      </w:pPr>
    </w:p>
    <w:p>
      <w:pPr>
        <w:pStyle w:val="3"/>
      </w:pPr>
      <w:bookmarkStart w:id="134" w:name="_Toc509586079"/>
      <w:bookmarkStart w:id="135" w:name="_Toc515980434"/>
      <w:r>
        <w:rPr>
          <w:rFonts w:hint="eastAsia"/>
        </w:rPr>
        <w:t>14.2  项目招投标方式和组织形式</w:t>
      </w:r>
      <w:bookmarkEnd w:id="134"/>
      <w:bookmarkEnd w:id="135"/>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1、招投标依据</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1.1《中华人民共和国招投标法》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1.2《</w:t>
      </w:r>
      <w:r>
        <w:rPr>
          <w:rFonts w:asciiTheme="minorEastAsia" w:hAnsiTheme="minorEastAsia" w:eastAsiaTheme="minorEastAsia"/>
          <w:sz w:val="24"/>
        </w:rPr>
        <w:t>珠海市建设工程招标投标管理</w:t>
      </w:r>
      <w:r>
        <w:rPr>
          <w:rFonts w:hint="eastAsia" w:asciiTheme="minorEastAsia" w:hAnsiTheme="minorEastAsia" w:eastAsiaTheme="minorEastAsia"/>
          <w:sz w:val="24"/>
        </w:rPr>
        <w:t>办法》</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2、招标范围</w:t>
      </w: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本项目涉资额大，工程建设必须进行招投标，严格按照国家《招投标管理办法》、《广东省招标投标条例》</w:t>
      </w:r>
      <w:r>
        <w:rPr>
          <w:rFonts w:hint="eastAsia" w:asciiTheme="minorEastAsia" w:hAnsiTheme="minorEastAsia" w:eastAsiaTheme="minorEastAsia"/>
          <w:sz w:val="24"/>
        </w:rPr>
        <w:t>以及《</w:t>
      </w:r>
      <w:r>
        <w:rPr>
          <w:rFonts w:asciiTheme="minorEastAsia" w:hAnsiTheme="minorEastAsia" w:eastAsiaTheme="minorEastAsia"/>
          <w:sz w:val="24"/>
        </w:rPr>
        <w:t>珠海市建设工程招标投标管理</w:t>
      </w:r>
      <w:r>
        <w:rPr>
          <w:rFonts w:hint="eastAsia" w:asciiTheme="minorEastAsia" w:hAnsiTheme="minorEastAsia" w:eastAsiaTheme="minorEastAsia"/>
          <w:sz w:val="24"/>
        </w:rPr>
        <w:t>办法》第八条之规定进行</w:t>
      </w:r>
      <w:r>
        <w:rPr>
          <w:rFonts w:asciiTheme="minorEastAsia" w:hAnsiTheme="minorEastAsia" w:eastAsiaTheme="minorEastAsia"/>
          <w:sz w:val="24"/>
        </w:rPr>
        <w:t>。</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3、招标方式</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根据国家和珠海市的有关法律、法规依法进行招标。</w:t>
      </w:r>
      <w:r>
        <w:rPr>
          <w:rFonts w:asciiTheme="minorEastAsia" w:hAnsiTheme="minorEastAsia" w:eastAsiaTheme="minorEastAsia"/>
          <w:sz w:val="24"/>
        </w:rPr>
        <w:t>招标方式有公开招标和邀请招标两种方式，该项目可根据政府具体要求，建议采用公开招标的方式。</w:t>
      </w:r>
      <w:r>
        <w:rPr>
          <w:rFonts w:hint="eastAsia" w:asciiTheme="minorEastAsia" w:hAnsiTheme="minorEastAsia" w:eastAsiaTheme="minorEastAsia"/>
          <w:sz w:val="24"/>
        </w:rPr>
        <w:t>委托公开招标的，应委托具有相应资质的招标代理机构代理招标；不采用招标方式的，按照有关规定办理。</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本项目的建设由珠海汇华基础设施投资有限公司具体负责实施，按照固定投资限额，限时、按质开展项目建设工作。</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4、投标单位资质要求</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投标单位必须具有相应施工资质。</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5、委托招标单位</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选择当地信誉好，有资质的招标代理单位，委托招标。</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6、招标程序</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本项目招标基本情况见以下程序图：</w:t>
      </w: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55" o:spid="_x0000_s1080" o:spt="20" style="position:absolute;left:0pt;flip:x y;margin-left:309.9pt;margin-top:0.65pt;height:26.65pt;width:0.05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">
                  <v:path arrowok="t"/>
                  <v:fill focussize="0,0"/>
                  <v:stroke endarrow="block"/>
                  <v:imagedata o:title=""/>
                  <o:lock v:ext="edit"/>
                </v:line>
              </w:pict>
            </w:r>
            <w:r>
              <w:rPr>
                <w:rFonts w:asciiTheme="minorEastAsia" w:hAnsiTheme="minorEastAsia" w:eastAsiaTheme="minorEastAsia"/>
                <w:sz w:val="24"/>
              </w:rPr>
              <w:pict>
                <v:line id="Line 52" o:spid="_x0000_s1079" o:spt="20" style="position:absolute;left:0pt;margin-left:255.6pt;margin-top:-0.5pt;height:0pt;width:81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">
                  <v:path arrowok="t"/>
                  <v:fill focussize="0,0"/>
                  <v:stroke/>
                  <v:imagedata o:title=""/>
                  <o:lock v:ext="edit"/>
                </v:line>
              </w:pict>
            </w:r>
            <w:r>
              <w:rPr>
                <w:rFonts w:hint="eastAsia" w:asciiTheme="minorEastAsia" w:hAnsiTheme="minorEastAsia" w:eastAsiaTheme="minorEastAsia"/>
                <w:sz w:val="24"/>
              </w:rPr>
              <w:t>组织招标工作小组</w:t>
            </w:r>
          </w:p>
        </w:tc>
      </w:tr>
    </w:tbl>
    <w:p>
      <w:pPr>
        <w:spacing w:line="360" w:lineRule="auto"/>
        <w:ind w:firstLine="6360" w:firstLineChars="2650"/>
        <w:rPr>
          <w:rFonts w:asciiTheme="minorEastAsia" w:hAnsiTheme="minorEastAsia" w:eastAsiaTheme="minorEastAsia"/>
          <w:sz w:val="24"/>
        </w:rPr>
      </w:pPr>
      <w:r>
        <w:rPr>
          <w:rFonts w:hint="eastAsia" w:asciiTheme="minorEastAsia" w:hAnsiTheme="minorEastAsia" w:eastAsiaTheme="minorEastAsia"/>
          <w:sz w:val="24"/>
        </w:rPr>
        <w:t xml:space="preserve">    准备阶段</w:t>
      </w: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54" o:spid="_x0000_s1078" o:spt="20" style="position:absolute;left:0pt;margin-left:309.6pt;margin-top:6.2pt;height:50.15pt;width:0.05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">
                  <v:path arrowok="t"/>
                  <v:fill focussize="0,0"/>
                  <v:stroke endarrow="block"/>
                  <v:imagedata o:title=""/>
                  <o:lock v:ext="edit"/>
                </v:line>
              </w:pict>
            </w:r>
            <w:r>
              <w:rPr>
                <w:rFonts w:hint="eastAsia" w:asciiTheme="minorEastAsia" w:hAnsiTheme="minorEastAsia" w:eastAsiaTheme="minorEastAsia"/>
                <w:sz w:val="24"/>
              </w:rPr>
              <w:t>组织评标委员会</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53" o:spid="_x0000_s1073" o:spt="20" style="position:absolute;left:0pt;margin-left:255.6pt;margin-top:13.1pt;height:0pt;width:81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">
                  <v:path arrowok="t"/>
                  <v:fill focussize="0,0"/>
                  <v:stroke/>
                  <v:imagedata o:title=""/>
                  <o:lock v:ext="edit"/>
                </v:line>
              </w:pict>
            </w:r>
            <w:r>
              <w:rPr>
                <w:rFonts w:hint="eastAsia" w:asciiTheme="minorEastAsia" w:hAnsiTheme="minorEastAsia" w:eastAsiaTheme="minorEastAsia"/>
                <w:sz w:val="24"/>
              </w:rPr>
              <w:t>招标登记</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59" o:spid="_x0000_s1069" o:spt="20" style="position:absolute;left:0pt;flip:x y;margin-left:309.7pt;margin-top:0pt;height:146.45pt;width:0.2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">
                  <v:path arrowok="t"/>
                  <v:fill focussize="0,0"/>
                  <v:stroke endarrow="block"/>
                  <v:imagedata o:title=""/>
                  <o:lock v:ext="edit"/>
                </v:line>
              </w:pict>
            </w:r>
            <w:r>
              <w:rPr>
                <w:rFonts w:asciiTheme="minorEastAsia" w:hAnsiTheme="minorEastAsia" w:eastAsiaTheme="minorEastAsia"/>
                <w:sz w:val="24"/>
              </w:rPr>
              <w:pict>
                <v:line id="Line 56" o:spid="_x0000_s1068" o:spt="20" style="position:absolute;left:0pt;margin-left:256.5pt;margin-top:0pt;height:0pt;width:81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">
                  <v:path arrowok="t"/>
                  <v:fill focussize="0,0"/>
                  <v:stroke/>
                  <v:imagedata o:title=""/>
                  <o:lock v:ext="edit"/>
                </v:line>
              </w:pict>
            </w:r>
            <w:r>
              <w:rPr>
                <w:rFonts w:hint="eastAsia" w:asciiTheme="minorEastAsia" w:hAnsiTheme="minorEastAsia" w:eastAsiaTheme="minorEastAsia"/>
                <w:sz w:val="24"/>
              </w:rPr>
              <w:t>招标文件编制</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发布招标信息</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接受投标申请</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颁布招标文件</w:t>
            </w:r>
          </w:p>
        </w:tc>
      </w:tr>
    </w:tbl>
    <w:p>
      <w:pPr>
        <w:spacing w:line="360" w:lineRule="auto"/>
        <w:rPr>
          <w:rFonts w:asciiTheme="minorEastAsia" w:hAnsiTheme="minorEastAsia" w:eastAsiaTheme="minorEastAsia"/>
          <w:sz w:val="24"/>
        </w:rPr>
      </w:pPr>
      <w:r>
        <w:rPr>
          <w:rFonts w:asciiTheme="minorEastAsia" w:hAnsiTheme="minorEastAsia" w:eastAsiaTheme="minorEastAsia"/>
          <w:sz w:val="24"/>
        </w:rPr>
        <w:pict>
          <v:line id="Line 58" o:spid="_x0000_s1058" o:spt="20" style="position:absolute;left:0pt;flip:x;margin-left:369.05pt;margin-top:21.2pt;height:162.1pt;width:0.25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">
            <v:path arrowok="t"/>
            <v:fill focussize="0,0"/>
            <v:stroke endarrow="block"/>
            <v:imagedata o:title=""/>
            <o:lock v:ext="edit"/>
          </v:line>
        </w:pict>
      </w:r>
      <w:r>
        <w:rPr>
          <w:rFonts w:hint="eastAsia" w:asciiTheme="minorEastAsia" w:hAnsiTheme="minorEastAsia" w:eastAsiaTheme="minorEastAsia"/>
          <w:sz w:val="24"/>
        </w:rPr>
        <w:t xml:space="preserve">                                                         招标阶段</w:t>
      </w: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组织现场踏堪答疑</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招标补充文件编制</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接受投标文件</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57" o:spid="_x0000_s1045" o:spt="20" style="position:absolute;left:0pt;margin-left:254.75pt;margin-top:15.65pt;height:0pt;width:81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">
                  <v:path arrowok="t"/>
                  <v:fill focussize="0,0"/>
                  <v:stroke/>
                  <v:imagedata o:title=""/>
                  <o:lock v:ext="edit"/>
                </v:line>
              </w:pict>
            </w:r>
            <w:r>
              <w:rPr>
                <w:rFonts w:hint="eastAsia" w:asciiTheme="minorEastAsia" w:hAnsiTheme="minorEastAsia" w:eastAsiaTheme="minorEastAsia"/>
                <w:sz w:val="24"/>
              </w:rPr>
              <w:t>送审标底</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62" o:spid="_x0000_s1041" o:spt="20" style="position:absolute;left:0pt;flip:x y;margin-left:308.75pt;margin-top:-0.15pt;height:62.35pt;width:0.05pt;z-index:251672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">
                  <v:path arrowok="t"/>
                  <v:fill focussize="0,0"/>
                  <v:stroke endarrow="block"/>
                  <v:imagedata o:title=""/>
                  <o:lock v:ext="edit"/>
                </v:line>
              </w:pict>
            </w:r>
            <w:r>
              <w:rPr>
                <w:rFonts w:asciiTheme="minorEastAsia" w:hAnsiTheme="minorEastAsia" w:eastAsiaTheme="minorEastAsia"/>
                <w:sz w:val="24"/>
              </w:rPr>
              <w:pict>
                <v:line id="Line 60" o:spid="_x0000_s1040" o:spt="20" style="position:absolute;left:0pt;margin-left:256.15pt;margin-top:-0.15pt;height:0pt;width:81pt;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">
                  <v:path arrowok="t"/>
                  <v:fill focussize="0,0"/>
                  <v:stroke/>
                  <v:imagedata o:title=""/>
                  <o:lock v:ext="edit"/>
                </v:line>
              </w:pict>
            </w:r>
            <w:r>
              <w:rPr>
                <w:rFonts w:hint="eastAsia" w:asciiTheme="minorEastAsia" w:hAnsiTheme="minorEastAsia" w:eastAsiaTheme="minorEastAsia"/>
                <w:sz w:val="24"/>
              </w:rPr>
              <w:t>开标</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5220" w:type="dxa"/>
          </w:tcPr>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评标、定标</w:t>
            </w:r>
          </w:p>
        </w:tc>
      </w:tr>
    </w:tbl>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评标阶段</w:t>
      </w: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61" o:spid="_x0000_s1033" o:spt="20" style="position:absolute;left:0pt;margin-left:308.75pt;margin-top:0.1pt;height:62.45pt;width:0.05pt;z-index:251671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">
                  <v:path arrowok="t"/>
                  <v:fill focussize="0,0"/>
                  <v:stroke endarrow="block"/>
                  <v:imagedata o:title=""/>
                  <o:lock v:ext="edit"/>
                </v:line>
              </w:pict>
            </w:r>
            <w:r>
              <w:rPr>
                <w:rFonts w:hint="eastAsia" w:asciiTheme="minorEastAsia" w:hAnsiTheme="minorEastAsia" w:eastAsiaTheme="minorEastAsia"/>
                <w:sz w:val="24"/>
              </w:rPr>
              <w:t>签发中标通知书</w:t>
            </w:r>
          </w:p>
        </w:tc>
      </w:tr>
    </w:tbl>
    <w:p>
      <w:pPr>
        <w:spacing w:line="360" w:lineRule="auto"/>
        <w:rPr>
          <w:rFonts w:asciiTheme="minorEastAsia" w:hAnsiTheme="minorEastAsia" w:eastAsiaTheme="minorEastAsia"/>
          <w:sz w:val="24"/>
        </w:rPr>
      </w:pPr>
    </w:p>
    <w:tbl>
      <w:tblPr>
        <w:tblStyle w:val="19"/>
        <w:tblW w:w="5220" w:type="dxa"/>
        <w:tblInd w:w="1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5220" w:type="dxa"/>
          </w:tcPr>
          <w:p>
            <w:pPr>
              <w:spacing w:line="360" w:lineRule="auto"/>
              <w:jc w:val="center"/>
              <w:rPr>
                <w:rFonts w:asciiTheme="minorEastAsia" w:hAnsiTheme="minorEastAsia" w:eastAsiaTheme="minorEastAsia"/>
                <w:sz w:val="24"/>
              </w:rPr>
            </w:pPr>
            <w:r>
              <w:rPr>
                <w:rFonts w:asciiTheme="minorEastAsia" w:hAnsiTheme="minorEastAsia" w:eastAsiaTheme="minorEastAsia"/>
                <w:sz w:val="24"/>
              </w:rPr>
              <w:pict>
                <v:line id="Line 63" o:spid="_x0000_s1029" o:spt="20" style="position:absolute;left:0pt;margin-left:254.9pt;margin-top:14.8pt;height:0pt;width:81pt;z-index:2516736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">
                  <v:path arrowok="t"/>
                  <v:fill focussize="0,0"/>
                  <v:stroke/>
                  <v:imagedata o:title=""/>
                  <o:lock v:ext="edit"/>
                </v:line>
              </w:pict>
            </w:r>
            <w:r>
              <w:rPr>
                <w:rFonts w:hint="eastAsia" w:asciiTheme="minorEastAsia" w:hAnsiTheme="minorEastAsia" w:eastAsiaTheme="minorEastAsia"/>
                <w:sz w:val="24"/>
              </w:rPr>
              <w:t>签定承包合同</w:t>
            </w:r>
          </w:p>
        </w:tc>
      </w:tr>
    </w:tbl>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36" w:name="_Toc498870115"/>
      <w:bookmarkStart w:id="137" w:name="_Toc515980435"/>
      <w:r>
        <w:rPr>
          <w:rFonts w:hint="eastAsia" w:ascii="宋体" w:hAnsi="宋体"/>
          <w:bCs w:val="0"/>
          <w:kern w:val="2"/>
          <w:sz w:val="36"/>
        </w:rPr>
        <w:t>第十五章  投资估算与资金</w:t>
      </w:r>
      <w:bookmarkEnd w:id="136"/>
      <w:r>
        <w:rPr>
          <w:rFonts w:hint="eastAsia" w:ascii="宋体" w:hAnsi="宋体"/>
          <w:bCs w:val="0"/>
          <w:kern w:val="2"/>
          <w:sz w:val="36"/>
        </w:rPr>
        <w:t>筹措</w:t>
      </w:r>
      <w:bookmarkEnd w:id="137"/>
    </w:p>
    <w:p>
      <w:pPr>
        <w:pStyle w:val="3"/>
      </w:pPr>
      <w:bookmarkStart w:id="138" w:name="_Toc509586080"/>
      <w:bookmarkStart w:id="139" w:name="_Toc515980436"/>
      <w:r>
        <w:rPr>
          <w:rFonts w:hint="eastAsia"/>
        </w:rPr>
        <w:t>15.1  投资估算范围</w:t>
      </w:r>
      <w:bookmarkEnd w:id="138"/>
      <w:bookmarkEnd w:id="139"/>
    </w:p>
    <w:p>
      <w:pPr>
        <w:adjustRightInd w:val="0"/>
        <w:snapToGrid w:val="0"/>
        <w:spacing w:line="360" w:lineRule="auto"/>
        <w:ind w:firstLine="570"/>
        <w:rPr>
          <w:rFonts w:ascii="宋体" w:hAnsi="宋体"/>
          <w:sz w:val="24"/>
        </w:rPr>
      </w:pPr>
      <w:r>
        <w:rPr>
          <w:rFonts w:hint="eastAsia" w:ascii="宋体" w:hAnsi="宋体"/>
          <w:sz w:val="24"/>
        </w:rPr>
        <w:t>本估算包括工程方案内的建筑、装修及水、电气安装等费用。其中给排水工程包括连接市政给水、污水、雨水等系统；电气安装工程包括配电照明工程、防雷接地系统等；消防工程包括消防喷淋及消火栓系统等。</w:t>
      </w:r>
    </w:p>
    <w:p>
      <w:pPr>
        <w:pStyle w:val="3"/>
      </w:pPr>
      <w:bookmarkStart w:id="140" w:name="_Toc509586081"/>
      <w:bookmarkStart w:id="141" w:name="_Toc515980437"/>
      <w:r>
        <w:rPr>
          <w:rFonts w:hint="eastAsia"/>
        </w:rPr>
        <w:t>15.2  编制依据</w:t>
      </w:r>
      <w:bookmarkEnd w:id="140"/>
      <w:bookmarkEnd w:id="141"/>
    </w:p>
    <w:p>
      <w:pPr>
        <w:adjustRightInd w:val="0"/>
        <w:snapToGrid w:val="0"/>
        <w:spacing w:line="360" w:lineRule="auto"/>
        <w:rPr>
          <w:rFonts w:ascii="宋体" w:hAnsi="宋体"/>
          <w:sz w:val="24"/>
        </w:rPr>
      </w:pPr>
      <w:r>
        <w:rPr>
          <w:rFonts w:hint="eastAsia" w:ascii="宋体" w:hAnsi="宋体"/>
          <w:sz w:val="24"/>
        </w:rPr>
        <w:t>本估算依据本项目推荐建设方案提出的各项技术参数、数据、初步方案设想，根据珠海市类似工程近期造价水平估算，并参照：</w:t>
      </w:r>
    </w:p>
    <w:p>
      <w:pPr>
        <w:adjustRightInd w:val="0"/>
        <w:snapToGrid w:val="0"/>
        <w:spacing w:line="360" w:lineRule="auto"/>
        <w:ind w:firstLine="570"/>
        <w:rPr>
          <w:rFonts w:ascii="宋体" w:hAnsi="宋体"/>
          <w:sz w:val="24"/>
        </w:rPr>
      </w:pPr>
      <w:r>
        <w:rPr>
          <w:rFonts w:hint="eastAsia" w:ascii="宋体" w:hAnsi="宋体"/>
          <w:sz w:val="24"/>
        </w:rPr>
        <w:t>1、《广东省建筑工程综合定额》及计价办法（2010年）；</w:t>
      </w:r>
    </w:p>
    <w:p>
      <w:pPr>
        <w:adjustRightInd w:val="0"/>
        <w:snapToGrid w:val="0"/>
        <w:spacing w:line="360" w:lineRule="auto"/>
        <w:ind w:firstLine="570"/>
        <w:rPr>
          <w:rFonts w:ascii="宋体" w:hAnsi="宋体"/>
          <w:sz w:val="24"/>
        </w:rPr>
      </w:pPr>
      <w:r>
        <w:rPr>
          <w:rFonts w:hint="eastAsia" w:ascii="宋体" w:hAnsi="宋体"/>
          <w:sz w:val="24"/>
        </w:rPr>
        <w:t>2、《广东省建筑工程概算定额》（2014）；</w:t>
      </w:r>
    </w:p>
    <w:p>
      <w:pPr>
        <w:adjustRightInd w:val="0"/>
        <w:snapToGrid w:val="0"/>
        <w:spacing w:line="360" w:lineRule="auto"/>
        <w:ind w:firstLine="570"/>
        <w:rPr>
          <w:rFonts w:ascii="宋体" w:hAnsi="宋体"/>
          <w:sz w:val="24"/>
        </w:rPr>
      </w:pPr>
      <w:r>
        <w:rPr>
          <w:rFonts w:hint="eastAsia" w:ascii="宋体" w:hAnsi="宋体"/>
          <w:sz w:val="24"/>
        </w:rPr>
        <w:t>3、《广东省装饰装修工程综合定额》及计价办法（2010年）；</w:t>
      </w:r>
    </w:p>
    <w:p>
      <w:pPr>
        <w:adjustRightInd w:val="0"/>
        <w:snapToGrid w:val="0"/>
        <w:spacing w:line="360" w:lineRule="auto"/>
        <w:ind w:firstLine="570"/>
        <w:rPr>
          <w:rFonts w:ascii="宋体" w:hAnsi="宋体"/>
          <w:sz w:val="24"/>
        </w:rPr>
      </w:pPr>
      <w:r>
        <w:rPr>
          <w:rFonts w:hint="eastAsia" w:ascii="宋体" w:hAnsi="宋体"/>
          <w:sz w:val="24"/>
        </w:rPr>
        <w:t>4、《广东省安装工程综合定额》及计价办法（2010年）；</w:t>
      </w:r>
    </w:p>
    <w:p>
      <w:pPr>
        <w:adjustRightInd w:val="0"/>
        <w:snapToGrid w:val="0"/>
        <w:spacing w:line="360" w:lineRule="auto"/>
        <w:ind w:firstLine="570"/>
        <w:rPr>
          <w:rFonts w:ascii="宋体" w:hAnsi="宋体"/>
          <w:sz w:val="24"/>
        </w:rPr>
      </w:pPr>
      <w:r>
        <w:rPr>
          <w:rFonts w:hint="eastAsia" w:ascii="宋体" w:hAnsi="宋体"/>
          <w:sz w:val="24"/>
        </w:rPr>
        <w:t>5、《广东省市政工程综合定额》（2010年）及计价办法（2010年）；</w:t>
      </w:r>
    </w:p>
    <w:p>
      <w:pPr>
        <w:adjustRightInd w:val="0"/>
        <w:snapToGrid w:val="0"/>
        <w:spacing w:line="360" w:lineRule="auto"/>
        <w:ind w:firstLine="570"/>
        <w:rPr>
          <w:rFonts w:ascii="宋体" w:hAnsi="宋体"/>
          <w:sz w:val="24"/>
        </w:rPr>
      </w:pPr>
      <w:r>
        <w:rPr>
          <w:rFonts w:hint="eastAsia" w:ascii="宋体" w:hAnsi="宋体"/>
          <w:sz w:val="24"/>
        </w:rPr>
        <w:t>6、《珠海工程造价信息》定期公布的材料价格；</w:t>
      </w:r>
    </w:p>
    <w:p>
      <w:pPr>
        <w:adjustRightInd w:val="0"/>
        <w:snapToGrid w:val="0"/>
        <w:spacing w:line="360" w:lineRule="auto"/>
        <w:ind w:firstLine="570"/>
        <w:rPr>
          <w:rFonts w:ascii="宋体" w:hAnsi="宋体"/>
          <w:sz w:val="24"/>
        </w:rPr>
      </w:pPr>
      <w:r>
        <w:rPr>
          <w:rFonts w:hint="eastAsia" w:ascii="宋体" w:hAnsi="宋体"/>
          <w:sz w:val="24"/>
        </w:rPr>
        <w:t>7、《珠海工程造价信息》定期发布的建筑工程造价指数指标；</w:t>
      </w:r>
    </w:p>
    <w:p>
      <w:pPr>
        <w:adjustRightInd w:val="0"/>
        <w:snapToGrid w:val="0"/>
        <w:spacing w:line="360" w:lineRule="auto"/>
        <w:ind w:firstLine="570"/>
        <w:rPr>
          <w:rFonts w:ascii="宋体" w:hAnsi="宋体"/>
          <w:sz w:val="24"/>
        </w:rPr>
      </w:pPr>
      <w:r>
        <w:rPr>
          <w:rFonts w:hint="eastAsia" w:ascii="宋体" w:hAnsi="宋体"/>
          <w:sz w:val="24"/>
        </w:rPr>
        <w:t>8、《国家计委办公厅关于出版〈投资项目可行性研究指南（试用版）〉的通知》（计办投资[2002]15号）；</w:t>
      </w:r>
    </w:p>
    <w:p>
      <w:pPr>
        <w:adjustRightInd w:val="0"/>
        <w:snapToGrid w:val="0"/>
        <w:spacing w:line="360" w:lineRule="auto"/>
        <w:ind w:firstLine="570"/>
        <w:rPr>
          <w:rFonts w:ascii="宋体" w:hAnsi="宋体"/>
          <w:sz w:val="24"/>
        </w:rPr>
      </w:pPr>
      <w:r>
        <w:rPr>
          <w:rFonts w:hint="eastAsia" w:ascii="宋体" w:hAnsi="宋体"/>
          <w:sz w:val="24"/>
        </w:rPr>
        <w:t>9、</w:t>
      </w:r>
      <w:r>
        <w:rPr>
          <w:rFonts w:ascii="宋体" w:hAnsi="宋体"/>
          <w:sz w:val="24"/>
        </w:rPr>
        <w:t>《建设项目经济评价方法与参数》（</w:t>
      </w:r>
      <w:r>
        <w:rPr>
          <w:rFonts w:hint="eastAsia" w:ascii="宋体" w:hAnsi="宋体"/>
          <w:sz w:val="24"/>
        </w:rPr>
        <w:t>第三版</w:t>
      </w:r>
      <w:r>
        <w:rPr>
          <w:rFonts w:ascii="宋体" w:hAnsi="宋体"/>
          <w:sz w:val="24"/>
        </w:rPr>
        <w:t>）</w:t>
      </w:r>
      <w:r>
        <w:rPr>
          <w:rFonts w:hint="eastAsia" w:ascii="宋体" w:hAnsi="宋体"/>
          <w:sz w:val="24"/>
        </w:rPr>
        <w:t>（国家发改委、建设部[2006]1325号）。</w:t>
      </w:r>
    </w:p>
    <w:p>
      <w:pPr>
        <w:pStyle w:val="3"/>
      </w:pPr>
      <w:bookmarkStart w:id="142" w:name="_Toc509586082"/>
      <w:bookmarkStart w:id="143" w:name="_Toc515980438"/>
      <w:r>
        <w:rPr>
          <w:rFonts w:hint="eastAsia"/>
        </w:rPr>
        <w:t>15.3  投资估算编制说明</w:t>
      </w:r>
      <w:bookmarkEnd w:id="142"/>
      <w:bookmarkEnd w:id="143"/>
    </w:p>
    <w:p>
      <w:pPr>
        <w:adjustRightInd w:val="0"/>
        <w:snapToGrid w:val="0"/>
        <w:spacing w:line="360" w:lineRule="auto"/>
        <w:ind w:firstLine="480" w:firstLineChars="200"/>
        <w:rPr>
          <w:rFonts w:ascii="宋体" w:hAnsi="宋体"/>
          <w:sz w:val="24"/>
        </w:rPr>
      </w:pPr>
      <w:r>
        <w:rPr>
          <w:rFonts w:hint="eastAsia" w:ascii="宋体" w:hAnsi="宋体"/>
          <w:sz w:val="24"/>
        </w:rPr>
        <w:t>本投资估算参照广东省工程综合定额，工程量依据建筑方案估算，经济指标参考珠海市类似工程造价水平估算建安费用。工程建设其他费用按珠海市有关计费标准估算，预备费按建安费用与工程建设其他费用之和的10%估算。</w:t>
      </w:r>
    </w:p>
    <w:p>
      <w:pPr>
        <w:pStyle w:val="3"/>
      </w:pPr>
      <w:bookmarkStart w:id="144" w:name="_Toc509586083"/>
      <w:bookmarkStart w:id="145" w:name="_Toc515980439"/>
      <w:r>
        <w:rPr>
          <w:rFonts w:hint="eastAsia"/>
        </w:rPr>
        <w:t>15.4  采用的定额及费率指标</w:t>
      </w:r>
      <w:bookmarkEnd w:id="144"/>
      <w:bookmarkEnd w:id="145"/>
    </w:p>
    <w:p>
      <w:pPr>
        <w:adjustRightInd w:val="0"/>
        <w:snapToGrid w:val="0"/>
        <w:spacing w:line="360" w:lineRule="auto"/>
        <w:ind w:firstLine="480" w:firstLineChars="200"/>
        <w:rPr>
          <w:rFonts w:ascii="宋体" w:hAnsi="宋体"/>
          <w:sz w:val="24"/>
        </w:rPr>
      </w:pPr>
      <w:r>
        <w:rPr>
          <w:rFonts w:hint="eastAsia" w:ascii="宋体" w:hAnsi="宋体"/>
          <w:sz w:val="24"/>
        </w:rPr>
        <w:t>本项目工程总投资</w:t>
      </w:r>
      <w:r>
        <w:rPr>
          <w:rFonts w:hint="eastAsia" w:ascii="宋体" w:hAnsi="宋体"/>
          <w:sz w:val="24"/>
          <w:lang w:val="en-US" w:eastAsia="zh-CN"/>
        </w:rPr>
        <w:t>24202.33</w:t>
      </w:r>
      <w:r>
        <w:rPr>
          <w:rFonts w:hint="eastAsia" w:ascii="宋体" w:hAnsi="宋体"/>
          <w:sz w:val="24"/>
        </w:rPr>
        <w:t>万元，其中建安工程费</w:t>
      </w:r>
      <w:r>
        <w:rPr>
          <w:rFonts w:hint="eastAsia" w:ascii="宋体" w:hAnsi="宋体"/>
          <w:sz w:val="24"/>
          <w:lang w:val="en-US" w:eastAsia="zh-CN"/>
        </w:rPr>
        <w:t>20003.29</w:t>
      </w:r>
      <w:r>
        <w:rPr>
          <w:rFonts w:hint="eastAsia" w:ascii="宋体" w:hAnsi="宋体"/>
          <w:sz w:val="24"/>
        </w:rPr>
        <w:t>万元，工程建设其它费用</w:t>
      </w:r>
      <w:r>
        <w:rPr>
          <w:rFonts w:hint="eastAsia" w:ascii="宋体" w:hAnsi="宋体"/>
          <w:sz w:val="24"/>
          <w:lang w:val="en-US" w:eastAsia="zh-CN"/>
        </w:rPr>
        <w:t>2017.98</w:t>
      </w:r>
      <w:r>
        <w:rPr>
          <w:rFonts w:hint="eastAsia" w:ascii="宋体" w:hAnsi="宋体"/>
          <w:sz w:val="24"/>
        </w:rPr>
        <w:t>万元，基本预备费</w:t>
      </w:r>
      <w:r>
        <w:rPr>
          <w:rFonts w:hint="eastAsia" w:ascii="宋体" w:hAnsi="宋体"/>
          <w:sz w:val="24"/>
          <w:lang w:val="en-US" w:eastAsia="zh-CN"/>
        </w:rPr>
        <w:t>1101.06</w:t>
      </w:r>
      <w:r>
        <w:rPr>
          <w:rFonts w:hint="eastAsia" w:ascii="宋体" w:hAnsi="宋体"/>
          <w:sz w:val="24"/>
        </w:rPr>
        <w:t>万元，教学设备费1080万元。</w:t>
      </w:r>
    </w:p>
    <w:p>
      <w:pPr>
        <w:adjustRightInd w:val="0"/>
        <w:snapToGrid w:val="0"/>
        <w:spacing w:line="360" w:lineRule="auto"/>
        <w:ind w:firstLine="480" w:firstLineChars="200"/>
        <w:rPr>
          <w:rFonts w:ascii="宋体" w:hAnsi="宋体"/>
          <w:sz w:val="24"/>
        </w:rPr>
      </w:pPr>
      <w:r>
        <w:rPr>
          <w:rFonts w:hint="eastAsia" w:ascii="宋体" w:hAnsi="宋体"/>
          <w:sz w:val="24"/>
        </w:rPr>
        <w:t>项目投资估算具体详见下表：</w:t>
      </w:r>
    </w:p>
    <w:tbl>
      <w:tblPr>
        <w:tblStyle w:val="19"/>
        <w:tblW w:w="9640" w:type="dxa"/>
        <w:tblInd w:w="89" w:type="dxa"/>
        <w:tblLayout w:type="fixed"/>
        <w:tblCellMar>
          <w:top w:w="0" w:type="dxa"/>
          <w:left w:w="108" w:type="dxa"/>
          <w:bottom w:w="0" w:type="dxa"/>
          <w:right w:w="108" w:type="dxa"/>
        </w:tblCellMar>
      </w:tblPr>
      <w:tblGrid>
        <w:gridCol w:w="700"/>
        <w:gridCol w:w="1700"/>
        <w:gridCol w:w="1080"/>
        <w:gridCol w:w="1260"/>
        <w:gridCol w:w="1540"/>
        <w:gridCol w:w="1660"/>
        <w:gridCol w:w="1700"/>
      </w:tblGrid>
      <w:tr>
        <w:tblPrEx>
          <w:tblLayout w:type="fixed"/>
          <w:tblCellMar>
            <w:top w:w="0" w:type="dxa"/>
            <w:left w:w="108" w:type="dxa"/>
            <w:bottom w:w="0" w:type="dxa"/>
            <w:right w:w="108" w:type="dxa"/>
          </w:tblCellMar>
        </w:tblPrEx>
        <w:trPr>
          <w:trHeight w:val="705" w:hRule="atLeast"/>
        </w:trPr>
        <w:tc>
          <w:tcPr>
            <w:tcW w:w="964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珠海汇华实验学校新建工程投资估算表</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工程和费用名称</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工程量</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单价（元）</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投资(万元)</w:t>
            </w:r>
          </w:p>
        </w:tc>
        <w:tc>
          <w:tcPr>
            <w:tcW w:w="1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一</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建筑安装工程费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val="en-US" w:eastAsia="zh-CN"/>
              </w:rPr>
            </w:pPr>
            <w:r>
              <w:rPr>
                <w:rFonts w:hint="eastAsia" w:ascii="黑体" w:hAnsi="黑体" w:eastAsia="黑体" w:cs="宋体"/>
                <w:b/>
                <w:bCs/>
                <w:color w:val="000000"/>
                <w:kern w:val="0"/>
                <w:sz w:val="20"/>
                <w:szCs w:val="20"/>
                <w:lang w:val="en-US" w:eastAsia="zh-CN"/>
              </w:rPr>
              <w:t>20003.29</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地下室工程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m</w:t>
            </w:r>
            <w:r>
              <w:rPr>
                <w:rFonts w:hint="eastAsia" w:ascii="黑体" w:hAnsi="黑体" w:eastAsia="黑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5000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4800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xml:space="preserve">2400.00 </w:t>
            </w:r>
          </w:p>
        </w:tc>
        <w:tc>
          <w:tcPr>
            <w:tcW w:w="17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r>
      <w:tr>
        <w:tblPrEx>
          <w:tblLayout w:type="fixed"/>
          <w:tblCellMar>
            <w:top w:w="0" w:type="dxa"/>
            <w:left w:w="108" w:type="dxa"/>
            <w:bottom w:w="0" w:type="dxa"/>
            <w:right w:w="108" w:type="dxa"/>
          </w:tblCellMar>
        </w:tblPrEx>
        <w:trPr>
          <w:trHeight w:val="96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土建工程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4100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2050.00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含桩基础，人防、结构混凝土、钢筋、模板、装饰工程等等</w:t>
            </w:r>
          </w:p>
        </w:tc>
      </w:tr>
      <w:tr>
        <w:tblPrEx>
          <w:tblLayout w:type="fixed"/>
          <w:tblCellMar>
            <w:top w:w="0" w:type="dxa"/>
            <w:left w:w="108" w:type="dxa"/>
            <w:bottom w:w="0" w:type="dxa"/>
            <w:right w:w="108" w:type="dxa"/>
          </w:tblCellMar>
        </w:tblPrEx>
        <w:trPr>
          <w:trHeight w:val="72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安装工程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350.00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含电气、消防、给排水、通风、智能化</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地上工程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m</w:t>
            </w:r>
            <w:r>
              <w:rPr>
                <w:rFonts w:hint="eastAsia" w:ascii="黑体" w:hAnsi="黑体" w:eastAsia="黑体" w:cs="宋体"/>
                <w:b/>
                <w:bCs/>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3920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xml:space="preserve">13044.49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　</w:t>
            </w:r>
          </w:p>
        </w:tc>
      </w:tr>
      <w:tr>
        <w:tblPrEx>
          <w:tblLayout w:type="fixed"/>
          <w:tblCellMar>
            <w:top w:w="0" w:type="dxa"/>
            <w:left w:w="108" w:type="dxa"/>
            <w:bottom w:w="0" w:type="dxa"/>
            <w:right w:w="108" w:type="dxa"/>
          </w:tblCellMar>
        </w:tblPrEx>
        <w:trPr>
          <w:trHeight w:val="96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土建工程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6655.35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含桩基础，人防、结构混凝土、钢筋、模板、装饰工程等等</w:t>
            </w:r>
          </w:p>
        </w:tc>
      </w:tr>
      <w:tr>
        <w:tblPrEx>
          <w:tblLayout w:type="fixed"/>
          <w:tblCellMar>
            <w:top w:w="0" w:type="dxa"/>
            <w:left w:w="108" w:type="dxa"/>
            <w:bottom w:w="0" w:type="dxa"/>
            <w:right w:w="108" w:type="dxa"/>
          </w:tblCellMar>
        </w:tblPrEx>
        <w:trPr>
          <w:trHeight w:val="96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装饰装修工程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3993.21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舞蹈室、美术室、音乐室、多功能厅、计算机教室、图书室等</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电气照明工程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831.92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含智能化</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给排水工程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366.04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含直饮水</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消防工程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432.60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96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空调工程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665.54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办公室、多功能厅、食堂等空调区域，按建筑面积的30%考虑</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通风工程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99.83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eastAsia="zh-CN"/>
              </w:rPr>
            </w:pPr>
            <w:r>
              <w:rPr>
                <w:rFonts w:hint="eastAsia" w:ascii="黑体" w:hAnsi="黑体" w:eastAsia="黑体" w:cs="宋体"/>
                <w:b/>
                <w:bCs/>
                <w:color w:val="000000"/>
                <w:kern w:val="0"/>
                <w:sz w:val="20"/>
                <w:szCs w:val="20"/>
                <w:lang w:val="en-US" w:eastAsia="zh-CN"/>
              </w:rPr>
              <w:t>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hint="eastAsia" w:ascii="黑体" w:hAnsi="黑体" w:eastAsia="黑体" w:cs="宋体"/>
                <w:b/>
                <w:bCs/>
                <w:color w:val="000000"/>
                <w:kern w:val="0"/>
                <w:sz w:val="20"/>
                <w:szCs w:val="20"/>
                <w:lang w:eastAsia="zh-CN"/>
              </w:rPr>
            </w:pPr>
            <w:r>
              <w:rPr>
                <w:rFonts w:hint="eastAsia" w:ascii="黑体" w:hAnsi="黑体" w:eastAsia="黑体" w:cs="宋体"/>
                <w:b/>
                <w:bCs/>
                <w:color w:val="000000"/>
                <w:kern w:val="0"/>
                <w:sz w:val="20"/>
                <w:szCs w:val="20"/>
                <w:lang w:eastAsia="zh-CN"/>
              </w:rPr>
              <w:t>软基处理工程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m</w:t>
            </w:r>
            <w:r>
              <w:rPr>
                <w:rFonts w:hint="eastAsia" w:ascii="黑体" w:hAnsi="黑体" w:eastAsia="黑体" w:cs="宋体"/>
                <w:b/>
                <w:bCs/>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val="en-US" w:eastAsia="zh-CN"/>
              </w:rPr>
            </w:pPr>
            <w:r>
              <w:rPr>
                <w:rFonts w:hint="eastAsia" w:ascii="黑体" w:hAnsi="黑体" w:eastAsia="黑体" w:cs="宋体"/>
                <w:b/>
                <w:bCs/>
                <w:color w:val="000000"/>
                <w:kern w:val="0"/>
                <w:sz w:val="20"/>
                <w:szCs w:val="20"/>
                <w:lang w:val="en-US" w:eastAsia="zh-CN"/>
              </w:rPr>
              <w:t>8207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lang w:val="en-US" w:eastAsia="zh-CN"/>
              </w:rPr>
              <w:t>3</w:t>
            </w:r>
            <w:r>
              <w:rPr>
                <w:rFonts w:hint="eastAsia" w:ascii="黑体" w:hAnsi="黑体" w:eastAsia="黑体" w:cs="宋体"/>
                <w:b/>
                <w:bCs/>
                <w:color w:val="000000"/>
                <w:kern w:val="0"/>
                <w:sz w:val="20"/>
                <w:szCs w:val="20"/>
              </w:rPr>
              <w:t>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宋体"/>
                <w:b/>
                <w:bCs/>
                <w:color w:val="000000"/>
                <w:kern w:val="0"/>
                <w:sz w:val="20"/>
                <w:szCs w:val="20"/>
                <w:lang w:val="en-US" w:eastAsia="zh-CN"/>
              </w:rPr>
            </w:pPr>
            <w:r>
              <w:rPr>
                <w:rFonts w:hint="eastAsia" w:ascii="黑体" w:hAnsi="黑体" w:eastAsia="黑体" w:cs="宋体"/>
                <w:b/>
                <w:bCs/>
                <w:color w:val="000000"/>
                <w:kern w:val="0"/>
                <w:sz w:val="20"/>
                <w:szCs w:val="20"/>
                <w:lang w:val="en-US" w:eastAsia="zh-CN"/>
              </w:rPr>
              <w:t>246.21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含土方开挖回填，基坑支护（无施工方案，总价浮动较大）</w:t>
            </w:r>
          </w:p>
        </w:tc>
      </w:tr>
      <w:tr>
        <w:tblPrEx>
          <w:tblLayout w:type="fixed"/>
          <w:tblCellMar>
            <w:top w:w="0" w:type="dxa"/>
            <w:left w:w="108" w:type="dxa"/>
            <w:bottom w:w="0" w:type="dxa"/>
            <w:right w:w="108" w:type="dxa"/>
          </w:tblCellMar>
        </w:tblPrEx>
        <w:trPr>
          <w:trHeight w:val="96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基坑支护工程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m</w:t>
            </w:r>
            <w:r>
              <w:rPr>
                <w:rFonts w:hint="eastAsia" w:ascii="黑体" w:hAnsi="黑体" w:eastAsia="黑体" w:cs="宋体"/>
                <w:b/>
                <w:bCs/>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5000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900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 xml:space="preserve">450.00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含土方开挖回填，基坑支护（无施工方案，总价浮动较大）</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绿色建筑工程费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m</w:t>
            </w:r>
            <w:r>
              <w:rPr>
                <w:rFonts w:hint="eastAsia" w:ascii="黑体" w:hAnsi="黑体" w:eastAsia="黑体" w:cs="宋体"/>
                <w:b/>
                <w:bCs/>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120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399.32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按绿建二星标准</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室外工程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m</w:t>
            </w:r>
            <w:r>
              <w:rPr>
                <w:rFonts w:hint="eastAsia" w:ascii="黑体" w:hAnsi="黑体" w:eastAsia="黑体" w:cs="宋体"/>
                <w:b/>
                <w:bCs/>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905.00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2153.27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按总用地面积50%估算</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铺装工程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475</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1130.17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含道路、广场铺装及景观工程</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绿化工程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室外给排水及消防工程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190.34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含市政水表接驳</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室外电气照明</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118.97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海绵绿化工程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23793.00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475.86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7</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室外配套工程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950.00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　</w:t>
            </w:r>
          </w:p>
        </w:tc>
      </w:tr>
      <w:tr>
        <w:tblPrEx>
          <w:tblLayout w:type="fixed"/>
          <w:tblCellMar>
            <w:top w:w="0" w:type="dxa"/>
            <w:left w:w="108" w:type="dxa"/>
            <w:bottom w:w="0" w:type="dxa"/>
            <w:right w:w="108" w:type="dxa"/>
          </w:tblCellMar>
        </w:tblPrEx>
        <w:trPr>
          <w:trHeight w:val="72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室外配电房</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1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100.00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含钢筋、混凝土、模板、装饰安装工程</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体育场工程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500.00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类似项目估算</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大门及围墙工程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300.00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含围墙、门卫室、大门、垃圾房等</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维持教学秩序安全措施费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50.00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分期建设，安全围护等</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8</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高低压配电设备</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负荷</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1000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1800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180.00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按1000kVA负荷</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9</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高压进线工程</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米</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2000</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900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180.00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20"/>
                <w:szCs w:val="20"/>
              </w:rPr>
            </w:pPr>
            <w:r>
              <w:rPr>
                <w:rFonts w:hint="eastAsia" w:ascii="宋体" w:hAnsi="宋体" w:cs="宋体"/>
                <w:b/>
                <w:bCs/>
                <w:color w:val="000000"/>
                <w:kern w:val="0"/>
                <w:sz w:val="20"/>
                <w:szCs w:val="20"/>
              </w:rPr>
              <w:t>按2公里路径</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二</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第二部分工程建设其他费用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计费基础</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费率/单价</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rPr>
              <w:t>201</w:t>
            </w:r>
            <w:r>
              <w:rPr>
                <w:rFonts w:hint="eastAsia" w:ascii="宋体" w:hAnsi="宋体" w:cs="宋体"/>
                <w:b/>
                <w:bCs/>
                <w:color w:val="000000"/>
                <w:kern w:val="0"/>
                <w:sz w:val="20"/>
                <w:szCs w:val="20"/>
                <w:lang w:val="en-US" w:eastAsia="zh-CN"/>
              </w:rPr>
              <w:t>7.98</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建设单位管理费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54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160.03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财建[2002]394号</w:t>
            </w:r>
          </w:p>
        </w:tc>
      </w:tr>
      <w:tr>
        <w:tblPrEx>
          <w:tblLayout w:type="fixed"/>
          <w:tblCellMar>
            <w:top w:w="0" w:type="dxa"/>
            <w:left w:w="108" w:type="dxa"/>
            <w:bottom w:w="0" w:type="dxa"/>
            <w:right w:w="108" w:type="dxa"/>
          </w:tblCellMar>
        </w:tblPrEx>
        <w:trPr>
          <w:trHeight w:val="51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工程咨询费（项目建议书）</w:t>
            </w:r>
          </w:p>
        </w:tc>
        <w:tc>
          <w:tcPr>
            <w:tcW w:w="1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3.00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按招标文件</w:t>
            </w:r>
          </w:p>
        </w:tc>
      </w:tr>
      <w:tr>
        <w:tblPrEx>
          <w:tblLayout w:type="fixed"/>
          <w:tblCellMar>
            <w:top w:w="0" w:type="dxa"/>
            <w:left w:w="108" w:type="dxa"/>
            <w:bottom w:w="0" w:type="dxa"/>
            <w:right w:w="108" w:type="dxa"/>
          </w:tblCellMar>
        </w:tblPrEx>
        <w:trPr>
          <w:trHeight w:val="52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工程咨询费（可行性研究报告）</w:t>
            </w:r>
          </w:p>
        </w:tc>
        <w:tc>
          <w:tcPr>
            <w:tcW w:w="1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6.00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按招标文件</w:t>
            </w:r>
          </w:p>
        </w:tc>
      </w:tr>
      <w:tr>
        <w:tblPrEx>
          <w:tblLayout w:type="fixed"/>
          <w:tblCellMar>
            <w:top w:w="0" w:type="dxa"/>
            <w:left w:w="108" w:type="dxa"/>
            <w:bottom w:w="0" w:type="dxa"/>
            <w:right w:w="108" w:type="dxa"/>
          </w:tblCellMar>
        </w:tblPrEx>
        <w:trPr>
          <w:trHeight w:val="72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勘察测量费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141.70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计价格[2002]10号文,按设计费的25%计算</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工程设计费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566.80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计价格[2002]10号文</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海绵绿化工程设计费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45.00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市场价暂估</w:t>
            </w:r>
          </w:p>
        </w:tc>
      </w:tr>
      <w:tr>
        <w:tblPrEx>
          <w:tblLayout w:type="fixed"/>
          <w:tblCellMar>
            <w:top w:w="0" w:type="dxa"/>
            <w:left w:w="108" w:type="dxa"/>
            <w:bottom w:w="0" w:type="dxa"/>
            <w:right w:w="108" w:type="dxa"/>
          </w:tblCellMar>
        </w:tblPrEx>
        <w:trPr>
          <w:trHeight w:val="60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BIM软件技术服务费</w:t>
            </w:r>
          </w:p>
        </w:tc>
        <w:tc>
          <w:tcPr>
            <w:tcW w:w="10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30.00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市场价暂估</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勘察及施工图技术审查费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勘察设计费</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6.50%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48.00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发改价格</w:t>
            </w:r>
            <w:r>
              <w:rPr>
                <w:kern w:val="0"/>
                <w:sz w:val="18"/>
                <w:szCs w:val="18"/>
              </w:rPr>
              <w:t>[2011]534</w:t>
            </w:r>
            <w:r>
              <w:rPr>
                <w:rFonts w:hint="eastAsia" w:ascii="宋体" w:hAnsi="宋体" w:cs="宋体"/>
                <w:kern w:val="0"/>
                <w:sz w:val="18"/>
                <w:szCs w:val="18"/>
              </w:rPr>
              <w:t>号</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造价咨询费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175.97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粤价函[2011]742号</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招标代理费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中标单位支付</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检测检验费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工程费</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200.03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按工程费1%估算</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工程监理费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工程费</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内插法</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393.46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发改价格[2007]670号</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交通评估费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200000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20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类似项目估算</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地质灾害评估费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90000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发改办价格[2006]745号</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雷击风险评估费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工程费</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30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粤价函[2004]409号</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空气检测费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 xml:space="preserve">13.31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按照地上建筑面积*4元/m2</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环境影响评价费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计价格[2002]125号</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节能评估费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类似项目估算</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水土保持方案编制费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类似项目估算</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绿建咨询费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按招标文件</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绿建设计费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按招标文件</w:t>
            </w:r>
          </w:p>
        </w:tc>
      </w:tr>
      <w:tr>
        <w:tblPrEx>
          <w:tblLayout w:type="fixed"/>
          <w:tblCellMar>
            <w:top w:w="0" w:type="dxa"/>
            <w:left w:w="108" w:type="dxa"/>
            <w:bottom w:w="0" w:type="dxa"/>
            <w:right w:w="108" w:type="dxa"/>
          </w:tblCellMar>
        </w:tblPrEx>
        <w:trPr>
          <w:trHeight w:val="72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绿色建筑星级评价设计认证费用</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粤建节协〔2013〕09号，按绿建二星标准</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白蚁防治费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6.66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粤价</w:t>
            </w:r>
            <w:r>
              <w:rPr>
                <w:color w:val="000000"/>
                <w:kern w:val="0"/>
                <w:sz w:val="18"/>
                <w:szCs w:val="18"/>
              </w:rPr>
              <w:t>[2002]370</w:t>
            </w:r>
            <w:r>
              <w:rPr>
                <w:rFonts w:hint="eastAsia" w:ascii="宋体" w:hAnsi="宋体" w:cs="宋体"/>
                <w:color w:val="000000"/>
                <w:kern w:val="0"/>
                <w:sz w:val="18"/>
                <w:szCs w:val="18"/>
              </w:rPr>
              <w:t>号文</w:t>
            </w:r>
          </w:p>
        </w:tc>
      </w:tr>
      <w:tr>
        <w:tblPrEx>
          <w:tblLayout w:type="fixed"/>
          <w:tblCellMar>
            <w:top w:w="0" w:type="dxa"/>
            <w:left w:w="108" w:type="dxa"/>
            <w:bottom w:w="0" w:type="dxa"/>
            <w:right w:w="108" w:type="dxa"/>
          </w:tblCellMar>
        </w:tblPrEx>
        <w:trPr>
          <w:trHeight w:val="45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场地准备及临时设施费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工程费</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0.50%</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100.02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建安工程费*0.5%</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三</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预备费</w:t>
            </w:r>
          </w:p>
        </w:tc>
        <w:tc>
          <w:tcPr>
            <w:tcW w:w="1080"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lang w:val="en-US" w:eastAsia="zh-CN"/>
              </w:rPr>
              <w:t>1101.06</w:t>
            </w:r>
          </w:p>
        </w:tc>
        <w:tc>
          <w:tcPr>
            <w:tcW w:w="1700" w:type="dxa"/>
            <w:tcBorders>
              <w:top w:val="nil"/>
              <w:left w:val="nil"/>
              <w:bottom w:val="single" w:color="auto" w:sz="4" w:space="0"/>
              <w:right w:val="single" w:color="auto" w:sz="4" w:space="0"/>
            </w:tcBorders>
            <w:shd w:val="clear" w:color="auto" w:fill="auto"/>
            <w:vAlign w:val="bottom"/>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20"/>
                <w:szCs w:val="20"/>
              </w:rPr>
            </w:pPr>
            <w:r>
              <w:rPr>
                <w:color w:val="000000"/>
                <w:kern w:val="0"/>
                <w:sz w:val="20"/>
                <w:szCs w:val="20"/>
              </w:rPr>
              <w:t>1</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基本预备费</w:t>
            </w:r>
            <w:r>
              <w:rPr>
                <w:color w:val="000000"/>
                <w:kern w:val="0"/>
                <w:sz w:val="20"/>
                <w:szCs w:val="20"/>
              </w:rPr>
              <w:t xml:space="preserve">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1101.06</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（一+二）×5%</w:t>
            </w:r>
          </w:p>
        </w:tc>
      </w:tr>
      <w:tr>
        <w:tblPrEx>
          <w:tblLayout w:type="fixed"/>
          <w:tblCellMar>
            <w:top w:w="0" w:type="dxa"/>
            <w:left w:w="108" w:type="dxa"/>
            <w:bottom w:w="0" w:type="dxa"/>
            <w:right w:w="108" w:type="dxa"/>
          </w:tblCellMar>
        </w:tblPrEx>
        <w:trPr>
          <w:trHeight w:val="2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涨价预备费</w:t>
            </w:r>
          </w:p>
        </w:tc>
        <w:tc>
          <w:tcPr>
            <w:tcW w:w="1080"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0</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暂不考虑</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FF00FF"/>
                <w:kern w:val="0"/>
                <w:sz w:val="20"/>
                <w:szCs w:val="20"/>
              </w:rPr>
            </w:pPr>
            <w:r>
              <w:rPr>
                <w:rFonts w:hint="eastAsia" w:ascii="黑体" w:hAnsi="黑体" w:eastAsia="黑体" w:cs="宋体"/>
                <w:b/>
                <w:bCs/>
                <w:color w:val="FF00FF"/>
                <w:kern w:val="0"/>
                <w:sz w:val="20"/>
                <w:szCs w:val="20"/>
              </w:rPr>
              <w:t>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合计（一+二+三）</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38276.77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5473.71</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lang w:val="en-US" w:eastAsia="zh-CN"/>
              </w:rPr>
              <w:t>23122.33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Layout w:type="fixed"/>
          <w:tblCellMar>
            <w:top w:w="0" w:type="dxa"/>
            <w:left w:w="108" w:type="dxa"/>
            <w:bottom w:w="0" w:type="dxa"/>
            <w:right w:w="108" w:type="dxa"/>
          </w:tblCellMar>
        </w:tblPrEx>
        <w:trPr>
          <w:trHeight w:val="48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四</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黑体" w:hAnsi="黑体" w:eastAsia="黑体" w:cs="宋体"/>
                <w:b/>
                <w:bCs/>
                <w:color w:val="000000"/>
                <w:kern w:val="0"/>
                <w:sz w:val="20"/>
                <w:szCs w:val="20"/>
              </w:rPr>
            </w:pPr>
            <w:r>
              <w:rPr>
                <w:rFonts w:hint="eastAsia" w:ascii="黑体" w:hAnsi="黑体" w:eastAsia="黑体" w:cs="宋体"/>
                <w:b/>
                <w:bCs/>
                <w:color w:val="000000"/>
                <w:kern w:val="0"/>
                <w:sz w:val="20"/>
                <w:szCs w:val="20"/>
              </w:rPr>
              <w:t>教学设备费</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 w:val="20"/>
                <w:szCs w:val="20"/>
              </w:rPr>
            </w:pPr>
            <w:r>
              <w:rPr>
                <w:b/>
                <w:bCs/>
                <w:color w:val="000000"/>
                <w:kern w:val="0"/>
                <w:sz w:val="20"/>
                <w:szCs w:val="20"/>
              </w:rPr>
              <w:t>　</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 xml:space="preserve">1080.00 </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36个班，每个班按30万标准</w:t>
            </w:r>
          </w:p>
        </w:tc>
      </w:tr>
      <w:tr>
        <w:tblPrEx>
          <w:tblLayout w:type="fixed"/>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五</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总投资估算</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m</w:t>
            </w:r>
            <w:r>
              <w:rPr>
                <w:rFonts w:hint="eastAsia" w:ascii="宋体" w:hAnsi="宋体" w:cs="宋体"/>
                <w:color w:val="000000"/>
                <w:kern w:val="0"/>
                <w:sz w:val="20"/>
                <w:szCs w:val="20"/>
                <w:vertAlign w:val="superscript"/>
              </w:rPr>
              <w:t>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38276.77</w:t>
            </w:r>
          </w:p>
        </w:tc>
        <w:tc>
          <w:tcPr>
            <w:tcW w:w="154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lang w:val="en-US" w:eastAsia="zh-CN"/>
              </w:rPr>
              <w:t>6322.98</w:t>
            </w:r>
          </w:p>
        </w:tc>
        <w:tc>
          <w:tcPr>
            <w:tcW w:w="166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lang w:val="en-US" w:eastAsia="zh-CN"/>
              </w:rPr>
              <w:t>24202.33</w:t>
            </w:r>
          </w:p>
        </w:tc>
        <w:tc>
          <w:tcPr>
            <w:tcW w:w="17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（一+二+三+四）</w:t>
            </w:r>
          </w:p>
        </w:tc>
      </w:tr>
      <w:tr>
        <w:tblPrEx>
          <w:tblLayout w:type="fixed"/>
          <w:tblCellMar>
            <w:top w:w="0" w:type="dxa"/>
            <w:left w:w="108" w:type="dxa"/>
            <w:bottom w:w="0" w:type="dxa"/>
            <w:right w:w="108" w:type="dxa"/>
          </w:tblCellMar>
        </w:tblPrEx>
        <w:trPr>
          <w:trHeight w:val="300" w:hRule="atLeast"/>
        </w:trPr>
        <w:tc>
          <w:tcPr>
            <w:tcW w:w="964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根据项目招标文件，本估算按新建一所36班的九年一贯制进行估算。</w:t>
            </w:r>
          </w:p>
        </w:tc>
      </w:tr>
    </w:tbl>
    <w:p>
      <w:pPr>
        <w:adjustRightInd w:val="0"/>
        <w:snapToGrid w:val="0"/>
        <w:spacing w:line="360" w:lineRule="auto"/>
        <w:ind w:firstLine="480" w:firstLineChars="200"/>
        <w:rPr>
          <w:rFonts w:ascii="宋体" w:hAnsi="宋体"/>
          <w:sz w:val="24"/>
        </w:rPr>
      </w:pPr>
    </w:p>
    <w:p>
      <w:pPr>
        <w:pStyle w:val="3"/>
      </w:pPr>
      <w:bookmarkStart w:id="146" w:name="_Toc509586084"/>
      <w:bookmarkStart w:id="147" w:name="_Toc515980440"/>
      <w:r>
        <w:rPr>
          <w:rFonts w:hint="eastAsia"/>
        </w:rPr>
        <w:t>15.5  投资估算结果</w:t>
      </w:r>
      <w:bookmarkEnd w:id="146"/>
      <w:bookmarkEnd w:id="147"/>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本项目建设的资金总额为</w:t>
      </w:r>
      <w:r>
        <w:rPr>
          <w:rFonts w:hint="eastAsia" w:ascii="宋体" w:hAnsi="宋体" w:eastAsiaTheme="minorEastAsia"/>
          <w:b/>
          <w:sz w:val="24"/>
          <w:lang w:val="en-US" w:eastAsia="zh-CN"/>
        </w:rPr>
        <w:t>24202.33</w:t>
      </w:r>
      <w:r>
        <w:rPr>
          <w:rFonts w:hint="eastAsia" w:asciiTheme="minorEastAsia" w:hAnsiTheme="minorEastAsia" w:eastAsiaTheme="minorEastAsia"/>
          <w:b/>
          <w:bCs/>
          <w:kern w:val="0"/>
          <w:sz w:val="24"/>
        </w:rPr>
        <w:t>万元</w:t>
      </w:r>
      <w:r>
        <w:rPr>
          <w:rFonts w:hint="eastAsia" w:asciiTheme="minorEastAsia" w:hAnsiTheme="minorEastAsia" w:eastAsiaTheme="minorEastAsia"/>
          <w:sz w:val="24"/>
        </w:rPr>
        <w:t>。</w:t>
      </w:r>
    </w:p>
    <w:p>
      <w:pPr>
        <w:pStyle w:val="3"/>
      </w:pPr>
      <w:bookmarkStart w:id="148" w:name="_Toc509586085"/>
      <w:bookmarkStart w:id="149" w:name="_Toc515980441"/>
      <w:r>
        <w:rPr>
          <w:rFonts w:hint="eastAsia"/>
        </w:rPr>
        <w:t>15.6  资金筹措</w:t>
      </w:r>
      <w:bookmarkEnd w:id="148"/>
      <w:bookmarkEnd w:id="149"/>
    </w:p>
    <w:p>
      <w:pPr>
        <w:adjustRightInd w:val="0"/>
        <w:snapToGrid w:val="0"/>
        <w:spacing w:line="360" w:lineRule="auto"/>
        <w:rPr>
          <w:rFonts w:ascii="宋体" w:hAnsi="宋体"/>
          <w:sz w:val="24"/>
        </w:rPr>
      </w:pPr>
      <w:r>
        <w:rPr>
          <w:rFonts w:hint="eastAsia" w:ascii="宋体" w:hAnsi="宋体"/>
          <w:sz w:val="24"/>
        </w:rPr>
        <w:t>项目建设资金由珠海汇华基础设施投资有限公司筹备。</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50" w:name="_Toc498870121"/>
      <w:bookmarkStart w:id="151" w:name="_Toc509584572"/>
      <w:bookmarkStart w:id="152" w:name="_Toc509586086"/>
      <w:bookmarkStart w:id="153" w:name="_Toc515980442"/>
      <w:r>
        <w:rPr>
          <w:rFonts w:hint="eastAsia" w:ascii="宋体" w:hAnsi="宋体"/>
          <w:bCs w:val="0"/>
          <w:kern w:val="2"/>
          <w:sz w:val="36"/>
        </w:rPr>
        <w:t>第十六章 社会</w:t>
      </w:r>
      <w:bookmarkEnd w:id="150"/>
      <w:r>
        <w:rPr>
          <w:rFonts w:hint="eastAsia" w:ascii="宋体" w:hAnsi="宋体"/>
          <w:bCs w:val="0"/>
          <w:kern w:val="2"/>
          <w:sz w:val="36"/>
        </w:rPr>
        <w:t>评价</w:t>
      </w:r>
      <w:bookmarkEnd w:id="151"/>
      <w:bookmarkEnd w:id="152"/>
      <w:bookmarkEnd w:id="153"/>
    </w:p>
    <w:p>
      <w:pPr>
        <w:pStyle w:val="3"/>
      </w:pPr>
      <w:bookmarkStart w:id="154" w:name="_Toc509586087"/>
      <w:bookmarkStart w:id="155" w:name="_Toc515980443"/>
      <w:r>
        <w:rPr>
          <w:rFonts w:hint="eastAsia"/>
        </w:rPr>
        <w:t>16.1  项目对社会的影响分析</w:t>
      </w:r>
      <w:bookmarkEnd w:id="154"/>
      <w:bookmarkEnd w:id="155"/>
    </w:p>
    <w:p>
      <w:pPr>
        <w:spacing w:line="360" w:lineRule="auto"/>
        <w:ind w:firstLine="480" w:firstLineChars="200"/>
        <w:rPr>
          <w:rFonts w:asciiTheme="minorEastAsia" w:hAnsiTheme="minorEastAsia" w:eastAsiaTheme="minorEastAsia"/>
          <w:sz w:val="24"/>
        </w:rPr>
      </w:pPr>
      <w:r>
        <w:rPr>
          <w:rFonts w:hint="eastAsia" w:ascii="宋体" w:hAnsi="宋体"/>
          <w:sz w:val="24"/>
          <w:szCs w:val="28"/>
        </w:rPr>
        <w:t>珠海</w:t>
      </w:r>
      <w:r>
        <w:rPr>
          <w:rFonts w:hint="eastAsia" w:asciiTheme="minorEastAsia" w:hAnsiTheme="minorEastAsia" w:eastAsiaTheme="minorEastAsia"/>
          <w:sz w:val="24"/>
        </w:rPr>
        <w:t>汇华实验学校是高栏港地区中小学义务教育的重要组成部分，本项目的建设可以进一步满足高栏港平沙镇中小学义务教育的需求，促进高栏港义务教育事业的健康发展。</w:t>
      </w:r>
    </w:p>
    <w:p>
      <w:pPr>
        <w:spacing w:line="360" w:lineRule="auto"/>
        <w:ind w:firstLine="480"/>
        <w:rPr>
          <w:rFonts w:asciiTheme="minorEastAsia" w:hAnsiTheme="minorEastAsia" w:eastAsiaTheme="minorEastAsia"/>
          <w:sz w:val="24"/>
        </w:rPr>
      </w:pPr>
      <w:r>
        <w:rPr>
          <w:rFonts w:hint="eastAsia" w:ascii="宋体" w:hAnsi="宋体"/>
          <w:sz w:val="24"/>
          <w:szCs w:val="28"/>
        </w:rPr>
        <w:t>珠海</w:t>
      </w:r>
      <w:r>
        <w:rPr>
          <w:rFonts w:hint="eastAsia" w:asciiTheme="minorEastAsia" w:hAnsiTheme="minorEastAsia" w:eastAsiaTheme="minorEastAsia"/>
          <w:sz w:val="24"/>
        </w:rPr>
        <w:t>汇华实验学校建成后</w:t>
      </w:r>
      <w:r>
        <w:rPr>
          <w:rFonts w:asciiTheme="minorEastAsia" w:hAnsiTheme="minorEastAsia" w:eastAsiaTheme="minorEastAsia"/>
          <w:sz w:val="24"/>
        </w:rPr>
        <w:t>，学生的学习</w:t>
      </w:r>
      <w:r>
        <w:rPr>
          <w:rFonts w:hint="eastAsia" w:asciiTheme="minorEastAsia" w:hAnsiTheme="minorEastAsia" w:eastAsiaTheme="minorEastAsia"/>
          <w:sz w:val="24"/>
        </w:rPr>
        <w:t>条件、学习环境</w:t>
      </w:r>
      <w:r>
        <w:rPr>
          <w:rFonts w:asciiTheme="minorEastAsia" w:hAnsiTheme="minorEastAsia" w:eastAsiaTheme="minorEastAsia"/>
          <w:sz w:val="24"/>
        </w:rPr>
        <w:t>能得到极大的改善，在“绿色校园”的氛围中健康成长，</w:t>
      </w:r>
      <w:r>
        <w:rPr>
          <w:rFonts w:hint="eastAsia" w:asciiTheme="minorEastAsia" w:hAnsiTheme="minorEastAsia" w:eastAsiaTheme="minorEastAsia"/>
          <w:sz w:val="24"/>
        </w:rPr>
        <w:t>建成后的</w:t>
      </w:r>
      <w:r>
        <w:rPr>
          <w:rFonts w:hint="eastAsia" w:ascii="宋体" w:hAnsi="宋体"/>
          <w:sz w:val="24"/>
          <w:szCs w:val="28"/>
        </w:rPr>
        <w:t>珠海</w:t>
      </w:r>
      <w:r>
        <w:rPr>
          <w:rFonts w:hint="eastAsia" w:asciiTheme="minorEastAsia" w:hAnsiTheme="minorEastAsia" w:eastAsiaTheme="minorEastAsia"/>
          <w:sz w:val="24"/>
        </w:rPr>
        <w:t>汇华实验学校</w:t>
      </w:r>
      <w:r>
        <w:rPr>
          <w:rFonts w:asciiTheme="minorEastAsia" w:hAnsiTheme="minorEastAsia" w:eastAsiaTheme="minorEastAsia"/>
          <w:sz w:val="24"/>
        </w:rPr>
        <w:t>将是一个布局合理、建筑协调、功能齐全</w:t>
      </w:r>
      <w:r>
        <w:rPr>
          <w:rFonts w:hint="eastAsia" w:asciiTheme="minorEastAsia" w:hAnsiTheme="minorEastAsia" w:eastAsiaTheme="minorEastAsia"/>
          <w:sz w:val="24"/>
        </w:rPr>
        <w:t>的学校，为学生提供良好、安全的学习条件和生活环境。</w:t>
      </w:r>
    </w:p>
    <w:p>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本项目属于教育基础设施建设项目，是真正落实教育优先发展战略的体现。</w:t>
      </w:r>
      <w:r>
        <w:rPr>
          <w:rFonts w:asciiTheme="minorEastAsia" w:hAnsiTheme="minorEastAsia" w:eastAsiaTheme="minorEastAsia"/>
          <w:sz w:val="24"/>
        </w:rPr>
        <w:t>本项目的建设将不仅适应时代潮流的发展，更是</w:t>
      </w:r>
      <w:r>
        <w:rPr>
          <w:rFonts w:hint="eastAsia" w:asciiTheme="minorEastAsia" w:hAnsiTheme="minorEastAsia" w:eastAsiaTheme="minorEastAsia"/>
          <w:sz w:val="24"/>
        </w:rPr>
        <w:t>体现</w:t>
      </w:r>
      <w:r>
        <w:rPr>
          <w:rFonts w:asciiTheme="minorEastAsia" w:hAnsiTheme="minorEastAsia" w:eastAsiaTheme="minorEastAsia"/>
          <w:sz w:val="24"/>
        </w:rPr>
        <w:t>“以人为本”和构建“和谐社会”的需要。</w:t>
      </w:r>
      <w:r>
        <w:rPr>
          <w:rFonts w:hint="eastAsia" w:asciiTheme="minorEastAsia" w:hAnsiTheme="minorEastAsia" w:eastAsiaTheme="minorEastAsia"/>
          <w:sz w:val="24"/>
        </w:rPr>
        <w:t>项目的建设将为学生打好基础、为家庭谋取幸福、为地方创建育教环境、为国家造就栋梁，对学区及周边区域的社会进步、经济发展都是十分有利的，所产生的社会影响和社会效益将是十分显著的。</w:t>
      </w:r>
    </w:p>
    <w:p>
      <w:pPr>
        <w:pStyle w:val="3"/>
      </w:pPr>
      <w:bookmarkStart w:id="156" w:name="_Toc509586088"/>
      <w:bookmarkStart w:id="157" w:name="_Toc515980444"/>
      <w:r>
        <w:rPr>
          <w:rFonts w:hint="eastAsia"/>
        </w:rPr>
        <w:t>16.2  项目所在地的互适性分析</w:t>
      </w:r>
      <w:bookmarkEnd w:id="156"/>
      <w:bookmarkEnd w:id="157"/>
    </w:p>
    <w:p>
      <w:pPr>
        <w:pStyle w:val="6"/>
        <w:spacing w:line="360" w:lineRule="auto"/>
        <w:ind w:firstLine="480" w:firstLineChars="200"/>
        <w:rPr>
          <w:rFonts w:ascii="宋体" w:hAnsi="宋体"/>
        </w:rPr>
      </w:pPr>
      <w:r>
        <w:rPr>
          <w:rFonts w:hint="eastAsia" w:ascii="宋体" w:hAnsi="宋体"/>
        </w:rPr>
        <w:t>为了分析当地政府、居民支持项目存在与发展的程度，考察项目与当地社会环境的相互适应关系，有必要分析和预测与项目直接相关的不同利益群体对项目建设和运营的态度及参与程度。项目所在地不同利益群体分析表详见下表。</w:t>
      </w:r>
    </w:p>
    <w:p>
      <w:pPr>
        <w:widowControl/>
        <w:spacing w:afterLines="50"/>
        <w:jc w:val="center"/>
        <w:rPr>
          <w:rFonts w:ascii="宋体" w:hAnsi="宋体"/>
          <w:b/>
          <w:sz w:val="24"/>
        </w:rPr>
      </w:pPr>
      <w:r>
        <w:rPr>
          <w:rFonts w:hint="eastAsia" w:ascii="宋体" w:hAnsi="宋体"/>
          <w:sz w:val="24"/>
        </w:rPr>
        <w:t>项目所在地不同利益群体分析表</w:t>
      </w:r>
    </w:p>
    <w:tbl>
      <w:tblPr>
        <w:tblStyle w:val="19"/>
        <w:tblW w:w="93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4367"/>
        <w:gridCol w:w="2011"/>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利益群体</w:t>
            </w:r>
          </w:p>
        </w:tc>
        <w:tc>
          <w:tcPr>
            <w:tcW w:w="4367" w:type="dxa"/>
            <w:vAlign w:val="center"/>
          </w:tcPr>
          <w:p>
            <w:pPr>
              <w:jc w:val="center"/>
              <w:rPr>
                <w:rFonts w:ascii="宋体" w:hAnsi="宋体"/>
                <w:sz w:val="24"/>
              </w:rPr>
            </w:pPr>
            <w:r>
              <w:rPr>
                <w:rFonts w:hint="eastAsia" w:ascii="宋体" w:hAnsi="宋体"/>
                <w:sz w:val="24"/>
              </w:rPr>
              <w:t>对项目的兴趣</w:t>
            </w:r>
          </w:p>
        </w:tc>
        <w:tc>
          <w:tcPr>
            <w:tcW w:w="2011" w:type="dxa"/>
            <w:vAlign w:val="center"/>
          </w:tcPr>
          <w:p>
            <w:pPr>
              <w:jc w:val="center"/>
              <w:rPr>
                <w:rFonts w:ascii="宋体" w:hAnsi="宋体"/>
                <w:sz w:val="24"/>
              </w:rPr>
            </w:pPr>
            <w:r>
              <w:rPr>
                <w:rFonts w:hint="eastAsia" w:ascii="宋体" w:hAnsi="宋体"/>
                <w:sz w:val="24"/>
              </w:rPr>
              <w:t>对项目的态度和要求</w:t>
            </w:r>
          </w:p>
        </w:tc>
        <w:tc>
          <w:tcPr>
            <w:tcW w:w="1205" w:type="dxa"/>
            <w:vAlign w:val="center"/>
          </w:tcPr>
          <w:p>
            <w:pPr>
              <w:jc w:val="center"/>
              <w:rPr>
                <w:rFonts w:ascii="宋体" w:hAnsi="宋体"/>
                <w:sz w:val="24"/>
              </w:rPr>
            </w:pPr>
            <w:r>
              <w:rPr>
                <w:rFonts w:hint="eastAsia" w:ascii="宋体" w:hAnsi="宋体"/>
                <w:sz w:val="24"/>
              </w:rPr>
              <w:t>对项目的支持力度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2" w:type="dxa"/>
            <w:gridSpan w:val="4"/>
            <w:vAlign w:val="center"/>
          </w:tcPr>
          <w:p>
            <w:pPr>
              <w:jc w:val="center"/>
              <w:rPr>
                <w:rFonts w:ascii="宋体" w:hAnsi="宋体"/>
                <w:sz w:val="24"/>
              </w:rPr>
            </w:pPr>
            <w:r>
              <w:rPr>
                <w:rFonts w:hint="eastAsia" w:ascii="宋体" w:hAnsi="宋体"/>
                <w:sz w:val="24"/>
              </w:rPr>
              <w:t>一、直接利益群体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1、珠海高栏港区市民及单位</w:t>
            </w:r>
          </w:p>
        </w:tc>
        <w:tc>
          <w:tcPr>
            <w:tcW w:w="4367" w:type="dxa"/>
          </w:tcPr>
          <w:p>
            <w:pPr>
              <w:rPr>
                <w:rFonts w:ascii="宋体" w:hAnsi="宋体"/>
                <w:sz w:val="24"/>
              </w:rPr>
            </w:pPr>
            <w:r>
              <w:rPr>
                <w:rFonts w:hint="eastAsia" w:ascii="宋体" w:hAnsi="宋体"/>
                <w:sz w:val="24"/>
              </w:rPr>
              <w:t>项目直接受影响者。项目施工对其生活和工作带来一定的影响，但项目建成可提高高栏港区的公共教育设施配套，提供大量的中小学学位，满足市民子女的学位需求，解决学位紧缺的现状。</w:t>
            </w:r>
          </w:p>
        </w:tc>
        <w:tc>
          <w:tcPr>
            <w:tcW w:w="2011" w:type="dxa"/>
          </w:tcPr>
          <w:p>
            <w:pPr>
              <w:rPr>
                <w:rFonts w:ascii="宋体" w:hAnsi="宋体"/>
                <w:sz w:val="24"/>
              </w:rPr>
            </w:pPr>
            <w:r>
              <w:rPr>
                <w:rFonts w:hint="eastAsia" w:ascii="宋体" w:hAnsi="宋体"/>
                <w:sz w:val="24"/>
              </w:rPr>
              <w:t>对项目表示理解和支持。施工期采取必要的环境保护措施，希望尽快建成。</w:t>
            </w:r>
          </w:p>
        </w:tc>
        <w:tc>
          <w:tcPr>
            <w:tcW w:w="1205" w:type="dxa"/>
            <w:vAlign w:val="center"/>
          </w:tcPr>
          <w:p>
            <w:pPr>
              <w:jc w:val="center"/>
              <w:rPr>
                <w:rFonts w:ascii="宋体" w:hAnsi="宋体"/>
                <w:sz w:val="24"/>
              </w:rPr>
            </w:pPr>
            <w:r>
              <w:rPr>
                <w:rFonts w:hint="eastAsia" w:ascii="宋体" w:hAnsi="宋体"/>
                <w:sz w:val="24"/>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2、项目建设管理单位、施工、设计、监理等。</w:t>
            </w:r>
          </w:p>
        </w:tc>
        <w:tc>
          <w:tcPr>
            <w:tcW w:w="4367" w:type="dxa"/>
          </w:tcPr>
          <w:p>
            <w:pPr>
              <w:rPr>
                <w:rFonts w:ascii="宋体" w:hAnsi="宋体"/>
                <w:sz w:val="24"/>
              </w:rPr>
            </w:pPr>
            <w:r>
              <w:rPr>
                <w:rFonts w:hint="eastAsia" w:ascii="宋体" w:hAnsi="宋体"/>
                <w:sz w:val="24"/>
              </w:rPr>
              <w:t>项目的直接受益者。项目实施可增加收入，提高单位知名度和实力。</w:t>
            </w:r>
          </w:p>
        </w:tc>
        <w:tc>
          <w:tcPr>
            <w:tcW w:w="2011" w:type="dxa"/>
          </w:tcPr>
          <w:p>
            <w:pPr>
              <w:rPr>
                <w:rFonts w:ascii="宋体" w:hAnsi="宋体"/>
                <w:sz w:val="24"/>
              </w:rPr>
            </w:pPr>
            <w:r>
              <w:rPr>
                <w:rFonts w:hint="eastAsia" w:ascii="宋体" w:hAnsi="宋体"/>
                <w:sz w:val="24"/>
              </w:rPr>
              <w:t>作为实施项目的建设者，使本项目按计划按目标建成。支持项目建设。</w:t>
            </w:r>
          </w:p>
        </w:tc>
        <w:tc>
          <w:tcPr>
            <w:tcW w:w="1205" w:type="dxa"/>
            <w:vAlign w:val="center"/>
          </w:tcPr>
          <w:p>
            <w:pPr>
              <w:jc w:val="center"/>
              <w:rPr>
                <w:rFonts w:ascii="宋体" w:hAnsi="宋体"/>
                <w:sz w:val="24"/>
              </w:rPr>
            </w:pPr>
            <w:r>
              <w:rPr>
                <w:rFonts w:hint="eastAsia" w:ascii="宋体" w:hAnsi="宋体"/>
                <w:sz w:val="24"/>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2" w:type="dxa"/>
            <w:gridSpan w:val="4"/>
            <w:vAlign w:val="center"/>
          </w:tcPr>
          <w:p>
            <w:pPr>
              <w:jc w:val="center"/>
              <w:rPr>
                <w:rFonts w:ascii="宋体" w:hAnsi="宋体"/>
                <w:sz w:val="24"/>
              </w:rPr>
            </w:pPr>
            <w:r>
              <w:rPr>
                <w:rFonts w:hint="eastAsia" w:ascii="宋体" w:hAnsi="宋体"/>
                <w:sz w:val="24"/>
              </w:rPr>
              <w:t>二、间接利益群体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1、珠海市及高栏港区政府</w:t>
            </w:r>
          </w:p>
        </w:tc>
        <w:tc>
          <w:tcPr>
            <w:tcW w:w="4367" w:type="dxa"/>
          </w:tcPr>
          <w:p>
            <w:pPr>
              <w:rPr>
                <w:rFonts w:ascii="宋体" w:hAnsi="宋体"/>
                <w:sz w:val="24"/>
              </w:rPr>
            </w:pPr>
            <w:r>
              <w:rPr>
                <w:rFonts w:hint="eastAsia" w:ascii="宋体" w:hAnsi="宋体"/>
                <w:sz w:val="24"/>
              </w:rPr>
              <w:t>代表市、区级政府对项目进行审批决策，希望通过项目建设，完善高栏港区公共教育设施配套，提高片区及城市竞争力。希望项目能够如期建设，为地区经济和社会发展作出贡献。</w:t>
            </w:r>
          </w:p>
        </w:tc>
        <w:tc>
          <w:tcPr>
            <w:tcW w:w="2011" w:type="dxa"/>
          </w:tcPr>
          <w:p>
            <w:pPr>
              <w:rPr>
                <w:rFonts w:ascii="宋体" w:hAnsi="宋体"/>
                <w:sz w:val="24"/>
              </w:rPr>
            </w:pPr>
            <w:r>
              <w:rPr>
                <w:rFonts w:hint="eastAsia" w:ascii="宋体" w:hAnsi="宋体"/>
                <w:sz w:val="24"/>
              </w:rPr>
              <w:t>支持项目建设。对项目有宏观管理权力</w:t>
            </w:r>
          </w:p>
        </w:tc>
        <w:tc>
          <w:tcPr>
            <w:tcW w:w="1205" w:type="dxa"/>
            <w:vAlign w:val="center"/>
          </w:tcPr>
          <w:p>
            <w:pPr>
              <w:jc w:val="center"/>
              <w:rPr>
                <w:rFonts w:ascii="宋体" w:hAnsi="宋体"/>
                <w:sz w:val="24"/>
              </w:rPr>
            </w:pPr>
            <w:r>
              <w:rPr>
                <w:rFonts w:hint="eastAsia" w:ascii="宋体" w:hAnsi="宋体"/>
                <w:sz w:val="24"/>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2、项目所在区域的房地产开发商及房产所有者</w:t>
            </w:r>
          </w:p>
        </w:tc>
        <w:tc>
          <w:tcPr>
            <w:tcW w:w="4367" w:type="dxa"/>
          </w:tcPr>
          <w:p>
            <w:pPr>
              <w:rPr>
                <w:rFonts w:ascii="宋体" w:hAnsi="宋体"/>
                <w:sz w:val="24"/>
              </w:rPr>
            </w:pPr>
            <w:r>
              <w:rPr>
                <w:rFonts w:hint="eastAsia" w:ascii="宋体" w:hAnsi="宋体"/>
                <w:sz w:val="24"/>
              </w:rPr>
              <w:t>项目的间接受益者。项目的实施将使他们的房产具有更大的升值潜力。</w:t>
            </w:r>
          </w:p>
        </w:tc>
        <w:tc>
          <w:tcPr>
            <w:tcW w:w="2011" w:type="dxa"/>
          </w:tcPr>
          <w:p>
            <w:pPr>
              <w:rPr>
                <w:rFonts w:ascii="宋体" w:hAnsi="宋体"/>
                <w:sz w:val="24"/>
              </w:rPr>
            </w:pPr>
            <w:r>
              <w:rPr>
                <w:rFonts w:hint="eastAsia" w:ascii="宋体" w:hAnsi="宋体"/>
                <w:sz w:val="24"/>
              </w:rPr>
              <w:t>极力支持项目建设。</w:t>
            </w:r>
          </w:p>
        </w:tc>
        <w:tc>
          <w:tcPr>
            <w:tcW w:w="1205" w:type="dxa"/>
            <w:vAlign w:val="center"/>
          </w:tcPr>
          <w:p>
            <w:pPr>
              <w:jc w:val="center"/>
              <w:rPr>
                <w:rFonts w:ascii="宋体" w:hAnsi="宋体"/>
                <w:sz w:val="24"/>
              </w:rPr>
            </w:pPr>
            <w:r>
              <w:rPr>
                <w:rFonts w:hint="eastAsia" w:ascii="宋体" w:hAnsi="宋体"/>
                <w:sz w:val="24"/>
              </w:rPr>
              <w:t>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vAlign w:val="center"/>
          </w:tcPr>
          <w:p>
            <w:pPr>
              <w:rPr>
                <w:rFonts w:ascii="宋体" w:hAnsi="宋体"/>
                <w:sz w:val="24"/>
              </w:rPr>
            </w:pPr>
            <w:r>
              <w:rPr>
                <w:rFonts w:hint="eastAsia" w:ascii="宋体" w:hAnsi="宋体"/>
                <w:sz w:val="24"/>
              </w:rPr>
              <w:t>3、当地企业</w:t>
            </w:r>
          </w:p>
        </w:tc>
        <w:tc>
          <w:tcPr>
            <w:tcW w:w="4367" w:type="dxa"/>
          </w:tcPr>
          <w:p>
            <w:pPr>
              <w:rPr>
                <w:rFonts w:ascii="宋体" w:hAnsi="宋体"/>
                <w:sz w:val="24"/>
              </w:rPr>
            </w:pPr>
            <w:r>
              <w:rPr>
                <w:rFonts w:hint="eastAsia" w:ascii="宋体" w:hAnsi="宋体"/>
                <w:sz w:val="24"/>
              </w:rPr>
              <w:t>项目的间接受益者。项目实施将为企业员工提供便利、优质的基础教育服务，有利于企业吸引人才和提高企业竞争力。</w:t>
            </w:r>
          </w:p>
        </w:tc>
        <w:tc>
          <w:tcPr>
            <w:tcW w:w="2011" w:type="dxa"/>
          </w:tcPr>
          <w:p>
            <w:pPr>
              <w:rPr>
                <w:rFonts w:ascii="宋体" w:hAnsi="宋体"/>
                <w:sz w:val="24"/>
              </w:rPr>
            </w:pPr>
            <w:r>
              <w:rPr>
                <w:rFonts w:hint="eastAsia" w:ascii="宋体" w:hAnsi="宋体"/>
                <w:sz w:val="24"/>
              </w:rPr>
              <w:t>极力支持项目建设。</w:t>
            </w:r>
          </w:p>
        </w:tc>
        <w:tc>
          <w:tcPr>
            <w:tcW w:w="1205" w:type="dxa"/>
            <w:vAlign w:val="center"/>
          </w:tcPr>
          <w:p>
            <w:pPr>
              <w:jc w:val="center"/>
              <w:rPr>
                <w:rFonts w:ascii="宋体" w:hAnsi="宋体"/>
                <w:sz w:val="24"/>
              </w:rPr>
            </w:pPr>
            <w:r>
              <w:rPr>
                <w:rFonts w:hint="eastAsia" w:ascii="宋体" w:hAnsi="宋体"/>
                <w:sz w:val="24"/>
              </w:rPr>
              <w:t>很小</w:t>
            </w:r>
          </w:p>
        </w:tc>
      </w:tr>
    </w:tbl>
    <w:p>
      <w:pPr>
        <w:adjustRightInd w:val="0"/>
        <w:snapToGrid w:val="0"/>
        <w:spacing w:line="360" w:lineRule="auto"/>
        <w:rPr>
          <w:rFonts w:ascii="宋体" w:hAnsi="宋体"/>
          <w:sz w:val="28"/>
          <w:szCs w:val="28"/>
        </w:rPr>
      </w:pPr>
    </w:p>
    <w:p>
      <w:pPr>
        <w:pStyle w:val="3"/>
      </w:pPr>
      <w:bookmarkStart w:id="158" w:name="_Toc509586089"/>
      <w:bookmarkStart w:id="159" w:name="_Toc515980445"/>
      <w:r>
        <w:rPr>
          <w:rFonts w:hint="eastAsia"/>
        </w:rPr>
        <w:t>16.3  社会评价结论</w:t>
      </w:r>
      <w:bookmarkEnd w:id="158"/>
      <w:bookmarkEnd w:id="159"/>
    </w:p>
    <w:p>
      <w:pPr>
        <w:pStyle w:val="6"/>
        <w:spacing w:line="360" w:lineRule="auto"/>
        <w:ind w:firstLine="480" w:firstLineChars="200"/>
        <w:rPr>
          <w:rFonts w:ascii="宋体" w:hAnsi="宋体"/>
        </w:rPr>
      </w:pPr>
      <w:r>
        <w:rPr>
          <w:rFonts w:hint="eastAsia" w:ascii="宋体" w:hAnsi="宋体"/>
        </w:rPr>
        <w:t>综上分析与评价，项目与所在地有着较强的互适性，具有良好的社会效益。项目建设对配合国家、广东省、珠海市及高栏港区加快基础教育事业发展建设，对完善珠海高栏港区公共教育设施配套体系起积极作用。</w:t>
      </w:r>
    </w:p>
    <w:p>
      <w:pPr>
        <w:spacing w:line="360" w:lineRule="auto"/>
        <w:ind w:firstLine="480" w:firstLineChars="200"/>
        <w:rPr>
          <w:rFonts w:asciiTheme="minorEastAsia" w:hAnsiTheme="minorEastAsia" w:eastAsiaTheme="minorEastAsia"/>
          <w:sz w:val="24"/>
        </w:rPr>
      </w:pPr>
      <w:r>
        <w:rPr>
          <w:rFonts w:hint="eastAsia" w:ascii="宋体" w:hAnsi="宋体"/>
          <w:sz w:val="24"/>
        </w:rPr>
        <w:t>在项目未来建设中，应重视广大市民及各界专业人士积极参与，建立有效的参与机制，增强市民对项目的理解与认同，力争取得社会各方面的支持。</w:t>
      </w:r>
    </w:p>
    <w:p>
      <w:pPr>
        <w:spacing w:line="360" w:lineRule="auto"/>
        <w:rPr>
          <w:rFonts w:asciiTheme="minorEastAsia" w:hAnsiTheme="minorEastAsia" w:eastAsiaTheme="minorEastAsia"/>
          <w:sz w:val="28"/>
          <w:szCs w:val="28"/>
        </w:rPr>
      </w:pP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60" w:name="_Toc498870124"/>
      <w:bookmarkStart w:id="161" w:name="_Toc509584573"/>
      <w:bookmarkStart w:id="162" w:name="_Toc441588702"/>
      <w:bookmarkStart w:id="163" w:name="_Toc486092148"/>
      <w:bookmarkStart w:id="164" w:name="_Toc515980446"/>
      <w:bookmarkStart w:id="165" w:name="_Toc509586090"/>
      <w:r>
        <w:rPr>
          <w:rFonts w:hint="eastAsia" w:ascii="宋体" w:hAnsi="宋体"/>
          <w:bCs w:val="0"/>
          <w:kern w:val="2"/>
          <w:sz w:val="36"/>
        </w:rPr>
        <w:t>第十七章 风险分析</w:t>
      </w:r>
      <w:bookmarkEnd w:id="160"/>
      <w:bookmarkEnd w:id="161"/>
      <w:bookmarkEnd w:id="162"/>
      <w:bookmarkEnd w:id="163"/>
      <w:bookmarkEnd w:id="164"/>
      <w:bookmarkEnd w:id="165"/>
    </w:p>
    <w:p>
      <w:pPr>
        <w:pStyle w:val="3"/>
      </w:pPr>
      <w:bookmarkStart w:id="166" w:name="_Toc509586091"/>
      <w:bookmarkStart w:id="167" w:name="_Toc515980447"/>
      <w:r>
        <w:rPr>
          <w:rFonts w:hint="eastAsia"/>
        </w:rPr>
        <w:t>17.1  项目主要风险因素</w:t>
      </w:r>
      <w:bookmarkEnd w:id="166"/>
      <w:bookmarkEnd w:id="167"/>
    </w:p>
    <w:p>
      <w:pPr>
        <w:spacing w:line="360" w:lineRule="auto"/>
        <w:ind w:firstLine="590" w:firstLineChars="245"/>
        <w:rPr>
          <w:rFonts w:ascii="宋体" w:hAnsi="宋体"/>
          <w:b/>
          <w:sz w:val="24"/>
        </w:rPr>
      </w:pPr>
      <w:r>
        <w:rPr>
          <w:rFonts w:hint="eastAsia" w:ascii="宋体" w:hAnsi="宋体"/>
          <w:b/>
          <w:bCs/>
          <w:sz w:val="24"/>
        </w:rPr>
        <w:t>一、</w:t>
      </w:r>
      <w:r>
        <w:rPr>
          <w:rFonts w:hint="eastAsia" w:ascii="宋体" w:hAnsi="宋体"/>
          <w:b/>
          <w:sz w:val="24"/>
        </w:rPr>
        <w:t>运营风险</w:t>
      </w:r>
    </w:p>
    <w:p>
      <w:pPr>
        <w:spacing w:line="360" w:lineRule="auto"/>
        <w:rPr>
          <w:rFonts w:ascii="宋体" w:hAnsi="宋体"/>
          <w:sz w:val="24"/>
        </w:rPr>
      </w:pPr>
      <w:r>
        <w:rPr>
          <w:rFonts w:hint="eastAsia" w:ascii="宋体" w:hAnsi="宋体"/>
          <w:sz w:val="24"/>
        </w:rPr>
        <w:t xml:space="preserve">    项目建设主要是体现社会效益，又是政策性与</w:t>
      </w:r>
      <w:r>
        <w:rPr>
          <w:rFonts w:hint="eastAsia" w:ascii="宋体" w:hAnsi="宋体" w:cs="宋体"/>
          <w:sz w:val="24"/>
        </w:rPr>
        <w:t>示范性</w:t>
      </w:r>
      <w:r>
        <w:rPr>
          <w:rFonts w:hint="eastAsia" w:ascii="宋体" w:hAnsi="宋体"/>
          <w:sz w:val="24"/>
        </w:rPr>
        <w:t>工程项目，政府财政有很大的保障，因此本项目的运营风险很小。</w:t>
      </w:r>
    </w:p>
    <w:p>
      <w:pPr>
        <w:spacing w:line="360" w:lineRule="auto"/>
        <w:rPr>
          <w:rFonts w:ascii="宋体" w:hAnsi="宋体"/>
          <w:b/>
          <w:bCs/>
          <w:sz w:val="24"/>
        </w:rPr>
      </w:pPr>
      <w:r>
        <w:rPr>
          <w:rFonts w:hint="eastAsia" w:ascii="宋体" w:hAnsi="宋体"/>
          <w:b/>
          <w:bCs/>
          <w:sz w:val="24"/>
        </w:rPr>
        <w:t xml:space="preserve">     二、环境影响风险</w:t>
      </w:r>
    </w:p>
    <w:p>
      <w:pPr>
        <w:spacing w:line="360" w:lineRule="auto"/>
        <w:ind w:firstLine="480" w:firstLineChars="200"/>
        <w:rPr>
          <w:rFonts w:ascii="宋体" w:hAnsi="宋体"/>
          <w:sz w:val="24"/>
        </w:rPr>
      </w:pPr>
      <w:r>
        <w:rPr>
          <w:rFonts w:hint="eastAsia" w:ascii="宋体" w:hAnsi="宋体"/>
          <w:sz w:val="24"/>
        </w:rPr>
        <w:t>（1）项目对外部环境影响风险</w:t>
      </w:r>
    </w:p>
    <w:p>
      <w:pPr>
        <w:spacing w:line="360" w:lineRule="auto"/>
        <w:ind w:firstLine="480" w:firstLineChars="200"/>
        <w:rPr>
          <w:rFonts w:ascii="宋体" w:hAnsi="宋体"/>
          <w:sz w:val="24"/>
        </w:rPr>
      </w:pPr>
      <w:r>
        <w:rPr>
          <w:rFonts w:hint="eastAsia" w:ascii="宋体" w:hAnsi="宋体"/>
          <w:sz w:val="24"/>
        </w:rPr>
        <w:t>主要是工程建设和运营期排污对周围水资源、自然环境等产生较小的负面影响，不需要增加大量投资进行治理等。</w:t>
      </w:r>
    </w:p>
    <w:p>
      <w:pPr>
        <w:spacing w:line="360" w:lineRule="auto"/>
        <w:ind w:firstLine="480" w:firstLineChars="200"/>
        <w:rPr>
          <w:rFonts w:ascii="宋体" w:hAnsi="宋体"/>
          <w:sz w:val="24"/>
        </w:rPr>
      </w:pPr>
      <w:r>
        <w:rPr>
          <w:rFonts w:hint="eastAsia" w:ascii="宋体" w:hAnsi="宋体"/>
          <w:sz w:val="24"/>
        </w:rPr>
        <w:t>（2）外部环境对项目影响风险</w:t>
      </w:r>
    </w:p>
    <w:p>
      <w:pPr>
        <w:spacing w:line="360" w:lineRule="auto"/>
        <w:ind w:firstLine="480" w:firstLineChars="200"/>
        <w:rPr>
          <w:rFonts w:ascii="宋体" w:hAnsi="宋体"/>
          <w:sz w:val="24"/>
        </w:rPr>
      </w:pPr>
      <w:r>
        <w:rPr>
          <w:rFonts w:hint="eastAsia" w:ascii="宋体" w:hAnsi="宋体"/>
          <w:sz w:val="24"/>
        </w:rPr>
        <w:t>由于本项目建设用地位于</w:t>
      </w:r>
      <w:r>
        <w:rPr>
          <w:rFonts w:hint="eastAsia"/>
          <w:sz w:val="24"/>
        </w:rPr>
        <w:t>珠海市平沙镇庆平路南侧</w:t>
      </w:r>
      <w:r>
        <w:rPr>
          <w:rFonts w:hint="eastAsia" w:ascii="宋体" w:hAnsi="宋体"/>
          <w:sz w:val="24"/>
        </w:rPr>
        <w:t>，东面为平南一街，外部环境良好，对项目运营的影响较小。</w:t>
      </w:r>
    </w:p>
    <w:p>
      <w:pPr>
        <w:spacing w:line="360" w:lineRule="auto"/>
        <w:rPr>
          <w:rFonts w:ascii="宋体" w:hAnsi="宋体"/>
          <w:b/>
          <w:bCs/>
          <w:sz w:val="24"/>
        </w:rPr>
      </w:pPr>
      <w:r>
        <w:rPr>
          <w:rFonts w:hint="eastAsia" w:ascii="宋体" w:hAnsi="宋体"/>
          <w:b/>
          <w:bCs/>
          <w:sz w:val="24"/>
        </w:rPr>
        <w:t xml:space="preserve">     三、技术与工程风险</w:t>
      </w:r>
    </w:p>
    <w:p>
      <w:pPr>
        <w:spacing w:line="360" w:lineRule="auto"/>
        <w:ind w:firstLine="600"/>
        <w:rPr>
          <w:rFonts w:ascii="宋体" w:hAnsi="宋体"/>
          <w:sz w:val="24"/>
        </w:rPr>
      </w:pPr>
      <w:r>
        <w:rPr>
          <w:rFonts w:hint="eastAsia" w:ascii="宋体" w:hAnsi="宋体"/>
          <w:sz w:val="24"/>
        </w:rPr>
        <w:t>（1）设计风险是项目设计和建设过程中的主要风险之一。</w:t>
      </w:r>
      <w:r>
        <w:rPr>
          <w:rFonts w:hint="eastAsia" w:ascii="宋体" w:hAnsi="宋体"/>
          <w:snapToGrid w:val="0"/>
          <w:sz w:val="24"/>
        </w:rPr>
        <w:t>建设工程是一项技术性较强、责任较重的繁杂工作，对于设计单位的业务与组织管理能力要求比较高。</w:t>
      </w:r>
      <w:r>
        <w:rPr>
          <w:rFonts w:hint="eastAsia" w:ascii="宋体" w:hAnsi="宋体"/>
          <w:sz w:val="24"/>
        </w:rPr>
        <w:t>在设计时难点在于投资额受到严格控制，功能要求又很高。</w:t>
      </w:r>
    </w:p>
    <w:p>
      <w:pPr>
        <w:spacing w:line="360" w:lineRule="auto"/>
        <w:ind w:firstLine="600"/>
        <w:rPr>
          <w:rFonts w:ascii="宋体" w:hAnsi="宋体"/>
          <w:sz w:val="24"/>
        </w:rPr>
      </w:pPr>
      <w:r>
        <w:rPr>
          <w:rFonts w:hint="eastAsia" w:ascii="宋体" w:hAnsi="宋体"/>
          <w:sz w:val="24"/>
        </w:rPr>
        <w:t>（2）施工的风险</w:t>
      </w:r>
    </w:p>
    <w:p>
      <w:pPr>
        <w:spacing w:line="360" w:lineRule="auto"/>
        <w:ind w:firstLine="600"/>
        <w:rPr>
          <w:rFonts w:ascii="宋体" w:hAnsi="宋体"/>
          <w:sz w:val="24"/>
        </w:rPr>
      </w:pPr>
      <w:r>
        <w:rPr>
          <w:rFonts w:hint="eastAsia" w:ascii="宋体" w:hAnsi="宋体"/>
          <w:sz w:val="24"/>
        </w:rPr>
        <w:t>建设工程涵盖内容较多且较为复杂，</w:t>
      </w:r>
      <w:r>
        <w:rPr>
          <w:rFonts w:hint="eastAsia" w:ascii="宋体" w:hAnsi="宋体"/>
          <w:snapToGrid w:val="0"/>
          <w:sz w:val="24"/>
        </w:rPr>
        <w:t>对施工单位的业务与组织管理能力要求很高、很专业。施工</w:t>
      </w:r>
      <w:r>
        <w:rPr>
          <w:rFonts w:hint="eastAsia" w:ascii="宋体" w:hAnsi="宋体"/>
          <w:sz w:val="24"/>
        </w:rPr>
        <w:t>直接影响到本项目的成败。</w:t>
      </w:r>
    </w:p>
    <w:p>
      <w:pPr>
        <w:spacing w:line="360" w:lineRule="auto"/>
        <w:rPr>
          <w:rFonts w:ascii="宋体" w:hAnsi="宋体"/>
          <w:b/>
          <w:sz w:val="24"/>
        </w:rPr>
      </w:pPr>
      <w:r>
        <w:rPr>
          <w:rFonts w:hint="eastAsia" w:ascii="宋体" w:hAnsi="宋体"/>
          <w:b/>
          <w:sz w:val="24"/>
        </w:rPr>
        <w:t xml:space="preserve">     四、组织管理风险</w:t>
      </w:r>
    </w:p>
    <w:p>
      <w:pPr>
        <w:spacing w:line="360" w:lineRule="auto"/>
        <w:ind w:firstLine="480" w:firstLineChars="200"/>
        <w:rPr>
          <w:rFonts w:ascii="宋体" w:hAnsi="宋体"/>
          <w:sz w:val="24"/>
        </w:rPr>
      </w:pPr>
      <w:r>
        <w:rPr>
          <w:rFonts w:hint="eastAsia" w:ascii="宋体" w:hAnsi="宋体"/>
          <w:sz w:val="24"/>
        </w:rPr>
        <w:t>（1）项目组织管理模式风险</w:t>
      </w:r>
    </w:p>
    <w:p>
      <w:pPr>
        <w:spacing w:line="360" w:lineRule="auto"/>
        <w:ind w:firstLine="480" w:firstLineChars="200"/>
        <w:rPr>
          <w:rFonts w:ascii="宋体" w:hAnsi="宋体"/>
          <w:sz w:val="24"/>
        </w:rPr>
      </w:pPr>
      <w:r>
        <w:rPr>
          <w:rFonts w:hint="eastAsia" w:ascii="宋体" w:hAnsi="宋体"/>
          <w:sz w:val="24"/>
        </w:rPr>
        <w:t>项目组织管理模式确定项目管理的总体框架、项目参与各方的职责、义务和风险分担，在很大程度上决定了项目的合同管理方式、项目建设进度、工程质量和造价等，因此，项目组织管理模式的合理与否，将给项目带来不同的风险损失。</w:t>
      </w:r>
    </w:p>
    <w:p>
      <w:pPr>
        <w:spacing w:line="360" w:lineRule="auto"/>
        <w:ind w:firstLine="480" w:firstLineChars="200"/>
        <w:rPr>
          <w:rFonts w:ascii="宋体" w:hAnsi="宋体"/>
          <w:sz w:val="24"/>
        </w:rPr>
      </w:pPr>
      <w:r>
        <w:rPr>
          <w:rFonts w:hint="eastAsia" w:ascii="宋体" w:hAnsi="宋体"/>
          <w:sz w:val="24"/>
        </w:rPr>
        <w:t>（2）组织与团队合作风险</w:t>
      </w:r>
    </w:p>
    <w:p>
      <w:pPr>
        <w:spacing w:line="360" w:lineRule="auto"/>
        <w:ind w:firstLine="480" w:firstLineChars="200"/>
        <w:rPr>
          <w:rFonts w:ascii="宋体" w:hAnsi="宋体"/>
          <w:sz w:val="24"/>
        </w:rPr>
      </w:pPr>
      <w:r>
        <w:rPr>
          <w:rFonts w:hint="eastAsia" w:ascii="宋体" w:hAnsi="宋体"/>
          <w:sz w:val="24"/>
        </w:rPr>
        <w:t>项目的主要参与者包括项目业主、代建单位、政府部门、承包商与咨询工程师等，项目参与各方的动机与目的不一致以及项目组织内部各部门对项目的理解、态度和行动的不一致，都将给项目造成工程量增加、投资增加、工期延长、质量下降等损失。</w:t>
      </w:r>
    </w:p>
    <w:p>
      <w:pPr>
        <w:spacing w:line="360" w:lineRule="auto"/>
        <w:ind w:firstLine="480" w:firstLineChars="200"/>
        <w:rPr>
          <w:rFonts w:ascii="宋体" w:hAnsi="宋体"/>
          <w:sz w:val="24"/>
        </w:rPr>
      </w:pPr>
      <w:r>
        <w:rPr>
          <w:rFonts w:hint="eastAsia" w:ascii="宋体" w:hAnsi="宋体"/>
          <w:sz w:val="24"/>
        </w:rPr>
        <w:t xml:space="preserve">（3）廉政建设风险 </w:t>
      </w:r>
    </w:p>
    <w:p>
      <w:pPr>
        <w:spacing w:line="360" w:lineRule="auto"/>
        <w:ind w:firstLine="480" w:firstLineChars="200"/>
        <w:rPr>
          <w:rFonts w:ascii="宋体" w:hAnsi="宋体"/>
          <w:sz w:val="24"/>
        </w:rPr>
      </w:pPr>
      <w:r>
        <w:rPr>
          <w:rFonts w:hint="eastAsia" w:ascii="宋体" w:hAnsi="宋体"/>
          <w:sz w:val="24"/>
        </w:rPr>
        <w:t>由于项目具有工程复杂、工程环节多、项目的主要参与者多等特点，因此，项目管理容易滋生腐败，项目内部组织不当、管理混乱或主要管理者能力不足、人格缺失等，都将给项目造成各种各样损失。</w:t>
      </w:r>
    </w:p>
    <w:p>
      <w:pPr>
        <w:spacing w:line="360" w:lineRule="auto"/>
        <w:rPr>
          <w:rFonts w:ascii="宋体" w:hAnsi="宋体"/>
          <w:b/>
          <w:sz w:val="24"/>
        </w:rPr>
      </w:pPr>
      <w:r>
        <w:rPr>
          <w:rFonts w:hint="eastAsia" w:ascii="宋体" w:hAnsi="宋体"/>
          <w:b/>
          <w:sz w:val="24"/>
        </w:rPr>
        <w:t xml:space="preserve">    五、政策风险</w:t>
      </w:r>
    </w:p>
    <w:p>
      <w:pPr>
        <w:spacing w:line="360" w:lineRule="auto"/>
        <w:ind w:firstLine="480" w:firstLineChars="200"/>
        <w:rPr>
          <w:rFonts w:ascii="宋体" w:hAnsi="宋体"/>
          <w:sz w:val="24"/>
        </w:rPr>
      </w:pPr>
      <w:r>
        <w:rPr>
          <w:rFonts w:hint="eastAsia" w:ascii="宋体" w:hAnsi="宋体"/>
          <w:sz w:val="24"/>
        </w:rPr>
        <w:t>由与其他原因造成财政政策的变化，给项目造成财政支持的不足等财政政策原因，将给项目带来工程停工等损失。</w:t>
      </w:r>
    </w:p>
    <w:p>
      <w:pPr>
        <w:spacing w:line="360" w:lineRule="auto"/>
        <w:rPr>
          <w:rFonts w:ascii="宋体" w:hAnsi="宋体"/>
          <w:sz w:val="24"/>
        </w:rPr>
      </w:pPr>
      <w:r>
        <w:rPr>
          <w:rFonts w:hint="eastAsia" w:ascii="宋体" w:hAnsi="宋体"/>
          <w:b/>
          <w:bCs/>
          <w:sz w:val="24"/>
        </w:rPr>
        <w:t xml:space="preserve">    六、外部协助条件风险</w:t>
      </w:r>
    </w:p>
    <w:p>
      <w:pPr>
        <w:spacing w:line="360" w:lineRule="auto"/>
        <w:ind w:firstLine="480" w:firstLineChars="200"/>
        <w:rPr>
          <w:rFonts w:ascii="宋体" w:hAnsi="宋体"/>
          <w:sz w:val="24"/>
        </w:rPr>
      </w:pPr>
      <w:r>
        <w:rPr>
          <w:rFonts w:hint="eastAsia" w:ascii="宋体" w:hAnsi="宋体"/>
          <w:sz w:val="24"/>
        </w:rPr>
        <w:t>外部协作条件风险主要是供电、交通、给排水、通讯、消防、环保等市政基础配套设施是否具备和完善，如果上述条件不具备，将会大大增加项目的投资，延误项目工期，对项目的建设和实施都非常不利。</w:t>
      </w:r>
    </w:p>
    <w:p>
      <w:pPr>
        <w:spacing w:line="360" w:lineRule="auto"/>
        <w:rPr>
          <w:rFonts w:ascii="宋体" w:hAnsi="宋体"/>
          <w:sz w:val="24"/>
        </w:rPr>
      </w:pPr>
      <w:r>
        <w:rPr>
          <w:rFonts w:hint="eastAsia" w:ascii="宋体" w:hAnsi="宋体"/>
          <w:b/>
          <w:bCs/>
          <w:sz w:val="24"/>
        </w:rPr>
        <w:t xml:space="preserve">    七、社会影响风险</w:t>
      </w:r>
    </w:p>
    <w:p>
      <w:pPr>
        <w:spacing w:line="360" w:lineRule="auto"/>
        <w:ind w:firstLine="480" w:firstLineChars="200"/>
        <w:rPr>
          <w:rFonts w:ascii="宋体" w:hAnsi="宋体"/>
          <w:sz w:val="24"/>
        </w:rPr>
      </w:pPr>
      <w:r>
        <w:rPr>
          <w:rFonts w:hint="eastAsia" w:ascii="宋体" w:hAnsi="宋体"/>
          <w:sz w:val="24"/>
        </w:rPr>
        <w:t>本项目是满足周边居民的学位需求，容易得到市民支持，社会影响较小。</w:t>
      </w:r>
    </w:p>
    <w:p>
      <w:pPr>
        <w:spacing w:line="360" w:lineRule="auto"/>
        <w:rPr>
          <w:rFonts w:ascii="宋体" w:hAnsi="宋体"/>
          <w:b/>
          <w:bCs/>
          <w:sz w:val="24"/>
        </w:rPr>
      </w:pPr>
      <w:r>
        <w:rPr>
          <w:rFonts w:hint="eastAsia" w:ascii="宋体" w:hAnsi="宋体"/>
          <w:b/>
          <w:bCs/>
          <w:sz w:val="24"/>
        </w:rPr>
        <w:t xml:space="preserve">    八、安全风险</w:t>
      </w:r>
    </w:p>
    <w:p>
      <w:pPr>
        <w:spacing w:line="360" w:lineRule="auto"/>
        <w:ind w:firstLine="480" w:firstLineChars="200"/>
        <w:rPr>
          <w:rFonts w:ascii="宋体" w:hAnsi="宋体"/>
          <w:sz w:val="24"/>
        </w:rPr>
      </w:pPr>
      <w:r>
        <w:rPr>
          <w:rFonts w:hint="eastAsia" w:ascii="宋体" w:hAnsi="宋体"/>
          <w:sz w:val="24"/>
        </w:rPr>
        <w:t>建筑项目涉及安全因素较多，对安全因素及其造成严重程度识别与估计不足，将可能给项目带来较大的影响。</w:t>
      </w:r>
    </w:p>
    <w:p>
      <w:pPr>
        <w:pStyle w:val="3"/>
      </w:pPr>
      <w:bookmarkStart w:id="168" w:name="_Toc509586092"/>
      <w:bookmarkStart w:id="169" w:name="_Toc515980448"/>
      <w:r>
        <w:rPr>
          <w:rFonts w:hint="eastAsia"/>
        </w:rPr>
        <w:t>17.2  风险程度分析</w:t>
      </w:r>
      <w:bookmarkEnd w:id="168"/>
      <w:bookmarkEnd w:id="169"/>
    </w:p>
    <w:p>
      <w:pPr>
        <w:spacing w:line="360" w:lineRule="auto"/>
        <w:ind w:firstLine="480" w:firstLineChars="200"/>
        <w:rPr>
          <w:rFonts w:ascii="宋体" w:hAnsi="宋体"/>
          <w:sz w:val="24"/>
        </w:rPr>
      </w:pPr>
      <w:r>
        <w:rPr>
          <w:rFonts w:hint="eastAsia" w:ascii="宋体" w:hAnsi="宋体"/>
          <w:sz w:val="24"/>
        </w:rPr>
        <w:t>项目在建设和生产运营过程中的风险因素和风险程度分析见下表。</w:t>
      </w:r>
    </w:p>
    <w:p>
      <w:pPr>
        <w:adjustRightInd w:val="0"/>
        <w:snapToGrid w:val="0"/>
        <w:spacing w:line="360" w:lineRule="auto"/>
        <w:ind w:firstLine="600" w:firstLineChars="250"/>
        <w:rPr>
          <w:rFonts w:ascii="宋体" w:hAnsi="宋体"/>
          <w:sz w:val="24"/>
        </w:rPr>
      </w:pPr>
      <w:r>
        <w:rPr>
          <w:rFonts w:hint="eastAsia" w:ascii="宋体" w:hAnsi="宋体"/>
          <w:sz w:val="24"/>
        </w:rPr>
        <w:t xml:space="preserve">                风险因素和风险程度分析表</w:t>
      </w:r>
    </w:p>
    <w:tbl>
      <w:tblPr>
        <w:tblStyle w:val="1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21"/>
        <w:gridCol w:w="1080"/>
        <w:gridCol w:w="1080"/>
        <w:gridCol w:w="1080"/>
        <w:gridCol w:w="1080"/>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trPr>
        <w:tc>
          <w:tcPr>
            <w:tcW w:w="648" w:type="dxa"/>
            <w:vMerge w:val="restart"/>
            <w:vAlign w:val="center"/>
          </w:tcPr>
          <w:p>
            <w:pPr>
              <w:adjustRightInd w:val="0"/>
              <w:snapToGrid w:val="0"/>
              <w:spacing w:line="360" w:lineRule="auto"/>
              <w:jc w:val="center"/>
              <w:rPr>
                <w:rFonts w:ascii="宋体" w:hAnsi="宋体"/>
                <w:sz w:val="24"/>
              </w:rPr>
            </w:pPr>
            <w:r>
              <w:rPr>
                <w:rFonts w:hint="eastAsia" w:ascii="宋体" w:hAnsi="宋体"/>
                <w:sz w:val="24"/>
              </w:rPr>
              <w:t>序号</w:t>
            </w:r>
          </w:p>
        </w:tc>
        <w:tc>
          <w:tcPr>
            <w:tcW w:w="2721" w:type="dxa"/>
            <w:vMerge w:val="restart"/>
            <w:vAlign w:val="center"/>
          </w:tcPr>
          <w:p>
            <w:pPr>
              <w:adjustRightInd w:val="0"/>
              <w:snapToGrid w:val="0"/>
              <w:spacing w:line="360" w:lineRule="auto"/>
              <w:jc w:val="center"/>
              <w:rPr>
                <w:rFonts w:ascii="宋体" w:hAnsi="宋体"/>
                <w:sz w:val="24"/>
              </w:rPr>
            </w:pPr>
            <w:r>
              <w:rPr>
                <w:rFonts w:hint="eastAsia" w:ascii="宋体" w:hAnsi="宋体"/>
                <w:sz w:val="24"/>
              </w:rPr>
              <w:t>风险因素名称</w:t>
            </w:r>
          </w:p>
        </w:tc>
        <w:tc>
          <w:tcPr>
            <w:tcW w:w="4320" w:type="dxa"/>
            <w:gridSpan w:val="4"/>
            <w:vAlign w:val="center"/>
          </w:tcPr>
          <w:p>
            <w:pPr>
              <w:adjustRightInd w:val="0"/>
              <w:snapToGrid w:val="0"/>
              <w:spacing w:line="360" w:lineRule="auto"/>
              <w:jc w:val="center"/>
              <w:rPr>
                <w:rFonts w:ascii="宋体" w:hAnsi="宋体"/>
                <w:sz w:val="24"/>
              </w:rPr>
            </w:pPr>
            <w:r>
              <w:rPr>
                <w:rFonts w:hint="eastAsia" w:ascii="宋体" w:hAnsi="宋体"/>
                <w:sz w:val="24"/>
              </w:rPr>
              <w:t>风   险   程   度</w:t>
            </w:r>
          </w:p>
        </w:tc>
        <w:tc>
          <w:tcPr>
            <w:tcW w:w="1066" w:type="dxa"/>
            <w:vAlign w:val="center"/>
          </w:tcPr>
          <w:p>
            <w:pPr>
              <w:adjustRightInd w:val="0"/>
              <w:snapToGrid w:val="0"/>
              <w:spacing w:line="360" w:lineRule="auto"/>
              <w:jc w:val="center"/>
              <w:rPr>
                <w:rFonts w:ascii="宋体" w:hAnsi="宋体"/>
                <w:sz w:val="24"/>
              </w:rPr>
            </w:pPr>
            <w:r>
              <w:rPr>
                <w:rFonts w:hint="eastAsia" w:ascii="宋体" w:hAnsi="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8" w:type="dxa"/>
            <w:vMerge w:val="continue"/>
            <w:vAlign w:val="center"/>
          </w:tcPr>
          <w:p>
            <w:pPr>
              <w:adjustRightInd w:val="0"/>
              <w:snapToGrid w:val="0"/>
              <w:spacing w:line="360" w:lineRule="auto"/>
              <w:jc w:val="center"/>
              <w:rPr>
                <w:rFonts w:ascii="宋体" w:hAnsi="宋体"/>
                <w:sz w:val="24"/>
              </w:rPr>
            </w:pPr>
          </w:p>
        </w:tc>
        <w:tc>
          <w:tcPr>
            <w:tcW w:w="2721" w:type="dxa"/>
            <w:vMerge w:val="continue"/>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灾难性</w:t>
            </w: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严重</w:t>
            </w: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较大</w:t>
            </w: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一般</w:t>
            </w: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1</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运营风险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2</w:t>
            </w:r>
          </w:p>
        </w:tc>
        <w:tc>
          <w:tcPr>
            <w:tcW w:w="2721" w:type="dxa"/>
            <w:vAlign w:val="center"/>
          </w:tcPr>
          <w:p>
            <w:pPr>
              <w:adjustRightInd w:val="0"/>
              <w:snapToGrid w:val="0"/>
              <w:spacing w:line="360" w:lineRule="auto"/>
              <w:rPr>
                <w:rFonts w:ascii="宋体" w:hAnsi="宋体"/>
                <w:sz w:val="24"/>
              </w:rPr>
            </w:pPr>
            <w:r>
              <w:rPr>
                <w:rFonts w:hint="eastAsia" w:ascii="宋体" w:hAnsi="宋体"/>
                <w:bCs/>
                <w:sz w:val="24"/>
              </w:rPr>
              <w:t>环境影响风险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3</w:t>
            </w:r>
          </w:p>
        </w:tc>
        <w:tc>
          <w:tcPr>
            <w:tcW w:w="2721" w:type="dxa"/>
            <w:vAlign w:val="center"/>
          </w:tcPr>
          <w:p>
            <w:pPr>
              <w:adjustRightInd w:val="0"/>
              <w:snapToGrid w:val="0"/>
              <w:spacing w:line="360" w:lineRule="auto"/>
              <w:rPr>
                <w:rFonts w:ascii="宋体" w:hAnsi="宋体"/>
                <w:sz w:val="24"/>
              </w:rPr>
            </w:pPr>
            <w:r>
              <w:rPr>
                <w:rFonts w:hint="eastAsia" w:ascii="宋体" w:hAnsi="宋体"/>
                <w:bCs/>
                <w:sz w:val="24"/>
              </w:rPr>
              <w:t>技术与工程风险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80" w:type="dxa"/>
            <w:vAlign w:val="center"/>
          </w:tcPr>
          <w:p>
            <w:pPr>
              <w:adjustRightInd w:val="0"/>
              <w:snapToGrid w:val="0"/>
              <w:spacing w:line="360" w:lineRule="auto"/>
              <w:jc w:val="center"/>
              <w:rPr>
                <w:rFonts w:ascii="宋体" w:hAnsi="宋体"/>
                <w:sz w:val="24"/>
              </w:rPr>
            </w:pP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3.1</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设计</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80" w:type="dxa"/>
            <w:vAlign w:val="center"/>
          </w:tcPr>
          <w:p>
            <w:pPr>
              <w:adjustRightInd w:val="0"/>
              <w:snapToGrid w:val="0"/>
              <w:spacing w:line="360" w:lineRule="auto"/>
              <w:jc w:val="center"/>
              <w:rPr>
                <w:rFonts w:ascii="宋体" w:hAnsi="宋体"/>
                <w:sz w:val="24"/>
              </w:rPr>
            </w:pP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rPr>
                <w:rFonts w:ascii="宋体" w:hAnsi="宋体"/>
                <w:sz w:val="24"/>
              </w:rPr>
            </w:pPr>
            <w:r>
              <w:rPr>
                <w:rFonts w:hint="eastAsia" w:ascii="宋体" w:hAnsi="宋体"/>
                <w:sz w:val="24"/>
              </w:rPr>
              <w:t>3.2</w:t>
            </w:r>
          </w:p>
        </w:tc>
        <w:tc>
          <w:tcPr>
            <w:tcW w:w="2721" w:type="dxa"/>
            <w:vAlign w:val="center"/>
          </w:tcPr>
          <w:p>
            <w:pPr>
              <w:rPr>
                <w:rFonts w:ascii="宋体" w:hAnsi="宋体"/>
                <w:sz w:val="24"/>
              </w:rPr>
            </w:pPr>
            <w:r>
              <w:rPr>
                <w:rFonts w:hint="eastAsia" w:ascii="宋体" w:hAnsi="宋体"/>
                <w:sz w:val="24"/>
              </w:rPr>
              <w:t>施工</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80" w:type="dxa"/>
            <w:vAlign w:val="center"/>
          </w:tcPr>
          <w:p>
            <w:pPr>
              <w:adjustRightInd w:val="0"/>
              <w:snapToGrid w:val="0"/>
              <w:spacing w:line="360" w:lineRule="auto"/>
              <w:jc w:val="center"/>
              <w:rPr>
                <w:rFonts w:ascii="宋体" w:hAnsi="宋体"/>
                <w:sz w:val="24"/>
              </w:rPr>
            </w:pP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4</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组织管理风险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pStyle w:val="26"/>
              <w:widowControl w:val="0"/>
              <w:adjustRightInd w:val="0"/>
              <w:snapToGrid w:val="0"/>
              <w:spacing w:before="0" w:beforeAutospacing="0" w:after="0" w:afterAutospacing="0" w:line="360" w:lineRule="auto"/>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4．1</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管理模式</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pStyle w:val="26"/>
              <w:widowControl w:val="0"/>
              <w:adjustRightInd w:val="0"/>
              <w:snapToGrid w:val="0"/>
              <w:spacing w:before="0" w:beforeAutospacing="0" w:after="0" w:afterAutospacing="0" w:line="360" w:lineRule="auto"/>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4．2</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组织与团队合作</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pStyle w:val="26"/>
              <w:widowControl w:val="0"/>
              <w:adjustRightInd w:val="0"/>
              <w:snapToGrid w:val="0"/>
              <w:spacing w:before="0" w:beforeAutospacing="0" w:after="0" w:afterAutospacing="0" w:line="360" w:lineRule="auto"/>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4．3</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廉政建设</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pStyle w:val="26"/>
              <w:widowControl w:val="0"/>
              <w:adjustRightInd w:val="0"/>
              <w:snapToGrid w:val="0"/>
              <w:spacing w:before="0" w:beforeAutospacing="0" w:after="0" w:afterAutospacing="0" w:line="360" w:lineRule="auto"/>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5</w:t>
            </w:r>
          </w:p>
        </w:tc>
        <w:tc>
          <w:tcPr>
            <w:tcW w:w="2721" w:type="dxa"/>
            <w:vAlign w:val="center"/>
          </w:tcPr>
          <w:p>
            <w:pPr>
              <w:adjustRightInd w:val="0"/>
              <w:snapToGrid w:val="0"/>
              <w:spacing w:line="360" w:lineRule="auto"/>
              <w:rPr>
                <w:rFonts w:ascii="宋体" w:hAnsi="宋体"/>
                <w:sz w:val="24"/>
              </w:rPr>
            </w:pPr>
            <w:r>
              <w:rPr>
                <w:rFonts w:hint="eastAsia" w:ascii="宋体" w:hAnsi="宋体"/>
                <w:sz w:val="24"/>
              </w:rPr>
              <w:t>财政政策</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pStyle w:val="26"/>
              <w:widowControl w:val="0"/>
              <w:adjustRightInd w:val="0"/>
              <w:snapToGrid w:val="0"/>
              <w:spacing w:before="0" w:beforeAutospacing="0" w:after="0" w:afterAutospacing="0" w:line="360" w:lineRule="auto"/>
              <w:rPr>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6</w:t>
            </w:r>
          </w:p>
        </w:tc>
        <w:tc>
          <w:tcPr>
            <w:tcW w:w="2721" w:type="dxa"/>
            <w:vAlign w:val="center"/>
          </w:tcPr>
          <w:p>
            <w:pPr>
              <w:adjustRightInd w:val="0"/>
              <w:snapToGrid w:val="0"/>
              <w:spacing w:line="360" w:lineRule="auto"/>
              <w:rPr>
                <w:rFonts w:ascii="宋体" w:hAnsi="宋体"/>
                <w:sz w:val="24"/>
              </w:rPr>
            </w:pPr>
            <w:r>
              <w:rPr>
                <w:rFonts w:hint="eastAsia" w:ascii="宋体" w:hAnsi="宋体"/>
                <w:bCs/>
                <w:sz w:val="24"/>
              </w:rPr>
              <w:t>外部协助条件风险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7</w:t>
            </w:r>
          </w:p>
        </w:tc>
        <w:tc>
          <w:tcPr>
            <w:tcW w:w="2721" w:type="dxa"/>
            <w:vAlign w:val="center"/>
          </w:tcPr>
          <w:p>
            <w:pPr>
              <w:adjustRightInd w:val="0"/>
              <w:snapToGrid w:val="0"/>
              <w:spacing w:line="360" w:lineRule="auto"/>
              <w:rPr>
                <w:rFonts w:ascii="宋体" w:hAnsi="宋体"/>
                <w:sz w:val="24"/>
              </w:rPr>
            </w:pPr>
            <w:r>
              <w:rPr>
                <w:rFonts w:hint="eastAsia" w:ascii="宋体" w:hAnsi="宋体"/>
                <w:bCs/>
                <w:sz w:val="24"/>
              </w:rPr>
              <w:t>社会影响风险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66" w:type="dxa"/>
            <w:vAlign w:val="center"/>
          </w:tcPr>
          <w:p>
            <w:pPr>
              <w:adjustRightInd w:val="0"/>
              <w:snapToGrid w:val="0"/>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adjustRightInd w:val="0"/>
              <w:snapToGrid w:val="0"/>
              <w:spacing w:line="360" w:lineRule="auto"/>
              <w:rPr>
                <w:rFonts w:ascii="宋体" w:hAnsi="宋体"/>
                <w:sz w:val="24"/>
              </w:rPr>
            </w:pPr>
            <w:r>
              <w:rPr>
                <w:rFonts w:hint="eastAsia" w:ascii="宋体" w:hAnsi="宋体"/>
                <w:sz w:val="24"/>
              </w:rPr>
              <w:t>8</w:t>
            </w:r>
          </w:p>
        </w:tc>
        <w:tc>
          <w:tcPr>
            <w:tcW w:w="2721" w:type="dxa"/>
            <w:vAlign w:val="center"/>
          </w:tcPr>
          <w:p>
            <w:pPr>
              <w:adjustRightInd w:val="0"/>
              <w:snapToGrid w:val="0"/>
              <w:spacing w:line="360" w:lineRule="auto"/>
              <w:rPr>
                <w:rFonts w:ascii="宋体" w:hAnsi="宋体"/>
                <w:bCs/>
                <w:sz w:val="24"/>
              </w:rPr>
            </w:pPr>
            <w:r>
              <w:rPr>
                <w:rFonts w:hint="eastAsia" w:ascii="宋体" w:hAnsi="宋体"/>
                <w:bCs/>
                <w:sz w:val="24"/>
              </w:rPr>
              <w:t>安全风险</w:t>
            </w: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p>
        </w:tc>
        <w:tc>
          <w:tcPr>
            <w:tcW w:w="1080" w:type="dxa"/>
            <w:vAlign w:val="center"/>
          </w:tcPr>
          <w:p>
            <w:pPr>
              <w:adjustRightInd w:val="0"/>
              <w:snapToGrid w:val="0"/>
              <w:spacing w:line="360" w:lineRule="auto"/>
              <w:jc w:val="center"/>
              <w:rPr>
                <w:rFonts w:ascii="宋体" w:hAnsi="宋体"/>
                <w:sz w:val="24"/>
              </w:rPr>
            </w:pPr>
            <w:r>
              <w:rPr>
                <w:rFonts w:hint="eastAsia" w:ascii="宋体" w:hAnsi="宋体"/>
                <w:sz w:val="24"/>
              </w:rPr>
              <w:t>√</w:t>
            </w:r>
          </w:p>
        </w:tc>
        <w:tc>
          <w:tcPr>
            <w:tcW w:w="1080" w:type="dxa"/>
            <w:vAlign w:val="center"/>
          </w:tcPr>
          <w:p>
            <w:pPr>
              <w:adjustRightInd w:val="0"/>
              <w:snapToGrid w:val="0"/>
              <w:spacing w:line="360" w:lineRule="auto"/>
              <w:jc w:val="center"/>
              <w:rPr>
                <w:rFonts w:ascii="宋体" w:hAnsi="宋体"/>
                <w:sz w:val="24"/>
              </w:rPr>
            </w:pPr>
          </w:p>
        </w:tc>
        <w:tc>
          <w:tcPr>
            <w:tcW w:w="1066" w:type="dxa"/>
            <w:vAlign w:val="center"/>
          </w:tcPr>
          <w:p>
            <w:pPr>
              <w:adjustRightInd w:val="0"/>
              <w:snapToGrid w:val="0"/>
              <w:spacing w:line="360" w:lineRule="auto"/>
              <w:jc w:val="center"/>
              <w:rPr>
                <w:rFonts w:ascii="宋体" w:hAnsi="宋体"/>
                <w:sz w:val="24"/>
              </w:rPr>
            </w:pPr>
          </w:p>
        </w:tc>
      </w:tr>
    </w:tbl>
    <w:p>
      <w:pPr>
        <w:pStyle w:val="3"/>
      </w:pPr>
      <w:bookmarkStart w:id="170" w:name="_Toc515980449"/>
      <w:r>
        <w:rPr>
          <w:rFonts w:hint="eastAsia"/>
        </w:rPr>
        <w:t>17.3  风险防范措施</w:t>
      </w:r>
      <w:bookmarkEnd w:id="170"/>
    </w:p>
    <w:p>
      <w:pPr>
        <w:spacing w:line="360" w:lineRule="auto"/>
        <w:rPr>
          <w:rFonts w:ascii="宋体" w:hAnsi="宋体"/>
          <w:sz w:val="24"/>
          <w:szCs w:val="28"/>
        </w:rPr>
      </w:pPr>
      <w:r>
        <w:rPr>
          <w:rFonts w:hint="eastAsia" w:ascii="宋体" w:hAnsi="宋体"/>
          <w:b/>
          <w:bCs/>
          <w:sz w:val="24"/>
          <w:szCs w:val="28"/>
        </w:rPr>
        <w:t>一、建设及运营风险</w:t>
      </w:r>
    </w:p>
    <w:p>
      <w:pPr>
        <w:spacing w:line="360" w:lineRule="auto"/>
        <w:ind w:firstLine="480" w:firstLineChars="200"/>
        <w:rPr>
          <w:rFonts w:ascii="宋体" w:hAnsi="宋体"/>
          <w:sz w:val="24"/>
          <w:szCs w:val="28"/>
        </w:rPr>
      </w:pPr>
      <w:r>
        <w:rPr>
          <w:rFonts w:hint="eastAsia" w:ascii="宋体" w:hAnsi="宋体"/>
          <w:sz w:val="24"/>
          <w:szCs w:val="28"/>
        </w:rPr>
        <w:t>项目由珠海汇华基础设施投资有限公司主要负责，建设风险低。</w:t>
      </w:r>
    </w:p>
    <w:p>
      <w:pPr>
        <w:spacing w:line="360" w:lineRule="auto"/>
        <w:ind w:firstLine="480" w:firstLineChars="200"/>
        <w:rPr>
          <w:rFonts w:ascii="宋体" w:hAnsi="宋体"/>
          <w:sz w:val="24"/>
          <w:szCs w:val="28"/>
        </w:rPr>
      </w:pPr>
      <w:r>
        <w:rPr>
          <w:rFonts w:hint="eastAsia" w:ascii="宋体" w:hAnsi="宋体"/>
          <w:sz w:val="24"/>
          <w:szCs w:val="28"/>
        </w:rPr>
        <w:t>本项目使用单位珠海汇华实验学校为公立学校，运营风险低。</w:t>
      </w:r>
    </w:p>
    <w:p>
      <w:pPr>
        <w:spacing w:line="360" w:lineRule="auto"/>
        <w:rPr>
          <w:rFonts w:ascii="宋体" w:hAnsi="宋体"/>
          <w:sz w:val="24"/>
          <w:szCs w:val="28"/>
        </w:rPr>
      </w:pPr>
      <w:r>
        <w:rPr>
          <w:rFonts w:hint="eastAsia" w:ascii="宋体" w:hAnsi="宋体"/>
          <w:b/>
          <w:bCs/>
          <w:sz w:val="24"/>
          <w:szCs w:val="28"/>
        </w:rPr>
        <w:t xml:space="preserve">     二、环境风险</w:t>
      </w:r>
    </w:p>
    <w:p>
      <w:pPr>
        <w:spacing w:line="360" w:lineRule="auto"/>
        <w:ind w:firstLine="480" w:firstLineChars="200"/>
        <w:rPr>
          <w:rFonts w:ascii="宋体" w:hAnsi="宋体"/>
          <w:sz w:val="24"/>
          <w:szCs w:val="28"/>
        </w:rPr>
      </w:pPr>
      <w:r>
        <w:rPr>
          <w:rFonts w:hint="eastAsia" w:ascii="宋体" w:hAnsi="宋体"/>
          <w:sz w:val="24"/>
          <w:szCs w:val="28"/>
        </w:rPr>
        <w:t>（1）项目对外部环境影响风险</w:t>
      </w:r>
    </w:p>
    <w:p>
      <w:pPr>
        <w:spacing w:line="360" w:lineRule="auto"/>
        <w:ind w:firstLine="480" w:firstLineChars="200"/>
        <w:rPr>
          <w:rFonts w:ascii="宋体" w:hAnsi="宋体"/>
          <w:sz w:val="24"/>
          <w:szCs w:val="28"/>
        </w:rPr>
      </w:pPr>
      <w:r>
        <w:rPr>
          <w:rFonts w:hint="eastAsia" w:ascii="宋体" w:hAnsi="宋体"/>
          <w:sz w:val="24"/>
          <w:szCs w:val="28"/>
        </w:rPr>
        <w:t>项目的从规划到建设均要坚决落实国家法律与规范，并做好其他环保措施，使项目建设不会或者尽量降低对环境的影响。</w:t>
      </w:r>
    </w:p>
    <w:p>
      <w:pPr>
        <w:spacing w:line="360" w:lineRule="auto"/>
        <w:ind w:firstLine="480" w:firstLineChars="200"/>
        <w:rPr>
          <w:rFonts w:ascii="宋体" w:hAnsi="宋体"/>
          <w:sz w:val="24"/>
          <w:szCs w:val="28"/>
        </w:rPr>
      </w:pPr>
      <w:r>
        <w:rPr>
          <w:rFonts w:hint="eastAsia" w:ascii="宋体" w:hAnsi="宋体"/>
          <w:sz w:val="24"/>
          <w:szCs w:val="28"/>
        </w:rPr>
        <w:t>（2）外部环境对项目影响风险</w:t>
      </w:r>
    </w:p>
    <w:p>
      <w:pPr>
        <w:spacing w:line="360" w:lineRule="auto"/>
        <w:ind w:firstLine="480" w:firstLineChars="200"/>
        <w:rPr>
          <w:rFonts w:ascii="宋体" w:hAnsi="宋体"/>
          <w:sz w:val="24"/>
          <w:szCs w:val="28"/>
        </w:rPr>
      </w:pPr>
      <w:r>
        <w:rPr>
          <w:rFonts w:hint="eastAsia" w:ascii="宋体" w:hAnsi="宋体"/>
          <w:sz w:val="24"/>
          <w:szCs w:val="28"/>
        </w:rPr>
        <w:t>在建筑设计时，要求考虑基础的隔振措施，以免对项目内部教学及周边的居民区造成影响。</w:t>
      </w:r>
    </w:p>
    <w:p>
      <w:pPr>
        <w:spacing w:line="360" w:lineRule="auto"/>
        <w:rPr>
          <w:rFonts w:ascii="宋体" w:hAnsi="宋体"/>
          <w:sz w:val="24"/>
          <w:szCs w:val="28"/>
        </w:rPr>
      </w:pPr>
      <w:r>
        <w:rPr>
          <w:rFonts w:hint="eastAsia" w:ascii="宋体" w:hAnsi="宋体"/>
          <w:b/>
          <w:bCs/>
          <w:sz w:val="24"/>
          <w:szCs w:val="28"/>
        </w:rPr>
        <w:t xml:space="preserve">    三、技术与工程风险</w:t>
      </w:r>
    </w:p>
    <w:p>
      <w:pPr>
        <w:spacing w:line="360" w:lineRule="auto"/>
        <w:ind w:firstLine="480" w:firstLineChars="200"/>
        <w:rPr>
          <w:rFonts w:ascii="宋体" w:hAnsi="宋体"/>
          <w:sz w:val="24"/>
          <w:szCs w:val="28"/>
        </w:rPr>
      </w:pPr>
      <w:r>
        <w:rPr>
          <w:rFonts w:hint="eastAsia" w:ascii="宋体" w:hAnsi="宋体"/>
          <w:sz w:val="24"/>
          <w:szCs w:val="28"/>
        </w:rPr>
        <w:t>（1）建筑设计风险</w:t>
      </w:r>
    </w:p>
    <w:p>
      <w:pPr>
        <w:spacing w:line="360" w:lineRule="auto"/>
        <w:ind w:firstLine="480" w:firstLineChars="200"/>
        <w:rPr>
          <w:rFonts w:ascii="宋体" w:hAnsi="宋体"/>
          <w:sz w:val="24"/>
          <w:szCs w:val="28"/>
        </w:rPr>
      </w:pPr>
      <w:r>
        <w:rPr>
          <w:rFonts w:hint="eastAsia" w:ascii="宋体" w:hAnsi="宋体"/>
          <w:sz w:val="24"/>
          <w:szCs w:val="28"/>
        </w:rPr>
        <w:t>可以通过聘请有相近项目设计经验的设计公司作为设计顾问，</w:t>
      </w:r>
      <w:r>
        <w:rPr>
          <w:rFonts w:ascii="宋体" w:hAnsi="宋体"/>
          <w:sz w:val="24"/>
          <w:szCs w:val="28"/>
        </w:rPr>
        <w:t>从</w:t>
      </w:r>
      <w:r>
        <w:rPr>
          <w:rFonts w:hint="eastAsia" w:ascii="宋体" w:hAnsi="宋体"/>
          <w:sz w:val="24"/>
          <w:szCs w:val="28"/>
        </w:rPr>
        <w:t>设计开始</w:t>
      </w:r>
      <w:r>
        <w:rPr>
          <w:rFonts w:ascii="宋体" w:hAnsi="宋体"/>
          <w:sz w:val="24"/>
          <w:szCs w:val="28"/>
        </w:rPr>
        <w:t>一道</w:t>
      </w:r>
      <w:r>
        <w:rPr>
          <w:rFonts w:hint="eastAsia" w:ascii="宋体" w:hAnsi="宋体"/>
          <w:sz w:val="24"/>
          <w:szCs w:val="28"/>
        </w:rPr>
        <w:t>参与设计</w:t>
      </w:r>
      <w:r>
        <w:rPr>
          <w:rFonts w:ascii="宋体" w:hAnsi="宋体"/>
          <w:sz w:val="24"/>
          <w:szCs w:val="28"/>
        </w:rPr>
        <w:t>工作，直至项目完工</w:t>
      </w:r>
      <w:r>
        <w:rPr>
          <w:rFonts w:hint="eastAsia" w:ascii="宋体" w:hAnsi="宋体"/>
          <w:sz w:val="24"/>
          <w:szCs w:val="28"/>
        </w:rPr>
        <w:t>精心设计。同时合理有效地组织施工和管理，使项目的投资、进度控制在计划范围。</w:t>
      </w:r>
    </w:p>
    <w:p>
      <w:pPr>
        <w:spacing w:line="360" w:lineRule="auto"/>
        <w:ind w:firstLine="480" w:firstLineChars="200"/>
        <w:rPr>
          <w:rFonts w:ascii="宋体" w:hAnsi="宋体"/>
          <w:sz w:val="24"/>
          <w:szCs w:val="28"/>
        </w:rPr>
      </w:pPr>
      <w:r>
        <w:rPr>
          <w:rFonts w:hint="eastAsia" w:ascii="宋体" w:hAnsi="宋体"/>
          <w:sz w:val="24"/>
          <w:szCs w:val="28"/>
        </w:rPr>
        <w:t>（2）施工的风险</w:t>
      </w:r>
    </w:p>
    <w:p>
      <w:pPr>
        <w:spacing w:line="360" w:lineRule="auto"/>
        <w:ind w:firstLine="480" w:firstLineChars="200"/>
        <w:rPr>
          <w:rFonts w:ascii="宋体" w:hAnsi="宋体"/>
          <w:sz w:val="24"/>
          <w:szCs w:val="28"/>
        </w:rPr>
      </w:pPr>
      <w:r>
        <w:rPr>
          <w:rFonts w:hint="eastAsia" w:ascii="宋体" w:hAnsi="宋体"/>
          <w:sz w:val="24"/>
          <w:szCs w:val="28"/>
        </w:rPr>
        <w:t>加强项目施工建设管理，委托具备相应资质，且信誉良好的施工单位和监理单位承担项目的建设和监理任务，严格控制工程成本、施工进度和工程质量，保证工程能够顺利竣工。可以通过聘请有相近项目施工与监理经验的公司作为顾问，同时合理有效地组织施工和管理，使项目的投资、进度控制在计划范围。</w:t>
      </w:r>
    </w:p>
    <w:p>
      <w:pPr>
        <w:spacing w:line="360" w:lineRule="auto"/>
        <w:rPr>
          <w:rFonts w:ascii="宋体" w:hAnsi="宋体"/>
          <w:b/>
          <w:sz w:val="24"/>
          <w:szCs w:val="28"/>
        </w:rPr>
      </w:pPr>
      <w:r>
        <w:rPr>
          <w:rFonts w:hint="eastAsia" w:ascii="宋体" w:hAnsi="宋体"/>
          <w:b/>
          <w:sz w:val="24"/>
          <w:szCs w:val="28"/>
        </w:rPr>
        <w:t xml:space="preserve">    四、组织管理风险</w:t>
      </w:r>
    </w:p>
    <w:p>
      <w:pPr>
        <w:spacing w:line="360" w:lineRule="auto"/>
        <w:ind w:firstLine="360" w:firstLineChars="150"/>
        <w:rPr>
          <w:rFonts w:ascii="宋体" w:hAnsi="宋体"/>
          <w:sz w:val="24"/>
          <w:szCs w:val="28"/>
        </w:rPr>
      </w:pPr>
      <w:r>
        <w:rPr>
          <w:rFonts w:hint="eastAsia" w:ascii="宋体" w:hAnsi="宋体"/>
          <w:sz w:val="24"/>
          <w:szCs w:val="28"/>
        </w:rPr>
        <w:t>（1）项目组织管理模式风险</w:t>
      </w:r>
    </w:p>
    <w:p>
      <w:pPr>
        <w:spacing w:line="360" w:lineRule="auto"/>
        <w:ind w:firstLine="480" w:firstLineChars="200"/>
        <w:rPr>
          <w:rFonts w:ascii="宋体" w:hAnsi="宋体"/>
          <w:sz w:val="24"/>
          <w:szCs w:val="28"/>
        </w:rPr>
      </w:pPr>
      <w:r>
        <w:rPr>
          <w:rFonts w:hint="eastAsia" w:ascii="宋体" w:hAnsi="宋体"/>
          <w:sz w:val="24"/>
          <w:szCs w:val="28"/>
        </w:rPr>
        <w:t>项目组织管理模式的确定在很大程度上是由项目的特点决定的。类似工程项目吸收国内同类项目相关管理模式的有益经验，广泛听取各种意见，合理选择与运作项目组织管理模式，将项目风险损失降到最低。</w:t>
      </w:r>
    </w:p>
    <w:p>
      <w:pPr>
        <w:spacing w:line="360" w:lineRule="auto"/>
        <w:ind w:firstLine="360" w:firstLineChars="150"/>
        <w:rPr>
          <w:rFonts w:ascii="宋体" w:hAnsi="宋体"/>
          <w:sz w:val="24"/>
          <w:szCs w:val="28"/>
        </w:rPr>
      </w:pPr>
      <w:r>
        <w:rPr>
          <w:rFonts w:hint="eastAsia" w:ascii="宋体" w:hAnsi="宋体"/>
          <w:sz w:val="24"/>
          <w:szCs w:val="28"/>
        </w:rPr>
        <w:t>（2）组织与团队合作风险</w:t>
      </w:r>
    </w:p>
    <w:p>
      <w:pPr>
        <w:spacing w:line="360" w:lineRule="auto"/>
        <w:rPr>
          <w:rFonts w:ascii="宋体" w:hAnsi="宋体"/>
          <w:sz w:val="24"/>
          <w:szCs w:val="28"/>
        </w:rPr>
      </w:pPr>
      <w:r>
        <w:rPr>
          <w:rFonts w:hint="eastAsia" w:ascii="宋体" w:hAnsi="宋体"/>
          <w:sz w:val="24"/>
          <w:szCs w:val="28"/>
        </w:rPr>
        <w:t xml:space="preserve">   通过严格选择适当的管理者、加强团队建设降低管理风险，通过完善项目参与各方的合同，加强合同管理，降低项目组织风险。</w:t>
      </w:r>
    </w:p>
    <w:p>
      <w:pPr>
        <w:spacing w:line="360" w:lineRule="auto"/>
        <w:ind w:firstLine="360" w:firstLineChars="150"/>
        <w:rPr>
          <w:rFonts w:ascii="宋体" w:hAnsi="宋体"/>
          <w:sz w:val="24"/>
          <w:szCs w:val="28"/>
        </w:rPr>
      </w:pPr>
      <w:r>
        <w:rPr>
          <w:rFonts w:hint="eastAsia" w:ascii="宋体" w:hAnsi="宋体"/>
          <w:sz w:val="24"/>
          <w:szCs w:val="28"/>
        </w:rPr>
        <w:t xml:space="preserve">（3）廉政风险 </w:t>
      </w:r>
    </w:p>
    <w:p>
      <w:pPr>
        <w:spacing w:line="360" w:lineRule="auto"/>
        <w:ind w:firstLine="240" w:firstLineChars="100"/>
        <w:rPr>
          <w:rFonts w:ascii="宋体" w:hAnsi="宋体"/>
          <w:sz w:val="24"/>
          <w:szCs w:val="28"/>
        </w:rPr>
      </w:pPr>
      <w:r>
        <w:rPr>
          <w:rFonts w:hint="eastAsia" w:ascii="宋体" w:hAnsi="宋体"/>
          <w:sz w:val="24"/>
          <w:szCs w:val="28"/>
        </w:rPr>
        <w:t xml:space="preserve"> 通过加强廉政制度建设、严格政府投资项目建设程序、增加项目透明度、广泛接受社会监督等措施，降低腐败风险。</w:t>
      </w:r>
    </w:p>
    <w:p>
      <w:pPr>
        <w:spacing w:line="360" w:lineRule="auto"/>
        <w:rPr>
          <w:rFonts w:ascii="宋体" w:hAnsi="宋体"/>
          <w:b/>
          <w:sz w:val="24"/>
          <w:szCs w:val="28"/>
        </w:rPr>
      </w:pPr>
      <w:r>
        <w:rPr>
          <w:rFonts w:hint="eastAsia" w:ascii="宋体" w:hAnsi="宋体"/>
          <w:b/>
          <w:sz w:val="24"/>
          <w:szCs w:val="28"/>
        </w:rPr>
        <w:t xml:space="preserve">    五、政策风险</w:t>
      </w:r>
    </w:p>
    <w:p>
      <w:pPr>
        <w:spacing w:line="360" w:lineRule="auto"/>
        <w:rPr>
          <w:rFonts w:ascii="宋体" w:hAnsi="宋体"/>
          <w:sz w:val="24"/>
          <w:szCs w:val="28"/>
        </w:rPr>
      </w:pPr>
      <w:r>
        <w:rPr>
          <w:rFonts w:hint="eastAsia" w:ascii="宋体" w:hAnsi="宋体"/>
          <w:sz w:val="24"/>
          <w:szCs w:val="28"/>
        </w:rPr>
        <w:t xml:space="preserve">    本项目</w:t>
      </w:r>
      <w:r>
        <w:rPr>
          <w:rFonts w:ascii="宋体" w:hAnsi="宋体"/>
          <w:sz w:val="24"/>
          <w:szCs w:val="28"/>
        </w:rPr>
        <w:t>作为公共教育体系的重要组成部分</w:t>
      </w:r>
      <w:r>
        <w:rPr>
          <w:rFonts w:hint="eastAsia" w:ascii="宋体" w:hAnsi="宋体"/>
          <w:sz w:val="24"/>
          <w:szCs w:val="28"/>
        </w:rPr>
        <w:t>，项目的政策风险相对较低，涉及本项目的国家及珠海市的财政政策比较稳定。</w:t>
      </w:r>
    </w:p>
    <w:p>
      <w:pPr>
        <w:spacing w:line="360" w:lineRule="auto"/>
        <w:rPr>
          <w:rFonts w:ascii="宋体" w:hAnsi="宋体"/>
          <w:sz w:val="24"/>
          <w:szCs w:val="28"/>
        </w:rPr>
      </w:pPr>
      <w:r>
        <w:rPr>
          <w:rFonts w:hint="eastAsia" w:ascii="宋体" w:hAnsi="宋体"/>
          <w:b/>
          <w:bCs/>
          <w:sz w:val="24"/>
          <w:szCs w:val="28"/>
        </w:rPr>
        <w:t xml:space="preserve">    六、外部协助条件风险</w:t>
      </w:r>
    </w:p>
    <w:p>
      <w:pPr>
        <w:spacing w:line="360" w:lineRule="auto"/>
        <w:rPr>
          <w:rFonts w:ascii="宋体" w:hAnsi="宋体"/>
          <w:sz w:val="24"/>
          <w:szCs w:val="28"/>
        </w:rPr>
      </w:pPr>
      <w:r>
        <w:rPr>
          <w:rFonts w:hint="eastAsia" w:ascii="宋体" w:hAnsi="宋体"/>
          <w:sz w:val="24"/>
          <w:szCs w:val="28"/>
        </w:rPr>
        <w:t xml:space="preserve">    项目的外部协作条件风险相对较低，本项目的运输、供水、供电、通讯等来源有保证。</w:t>
      </w:r>
    </w:p>
    <w:p>
      <w:pPr>
        <w:pStyle w:val="28"/>
        <w:tabs>
          <w:tab w:val="left" w:pos="8640"/>
        </w:tabs>
        <w:adjustRightInd/>
        <w:spacing w:line="360" w:lineRule="auto"/>
        <w:jc w:val="both"/>
        <w:rPr>
          <w:rFonts w:hAnsi="宋体"/>
          <w:szCs w:val="28"/>
        </w:rPr>
      </w:pPr>
      <w:r>
        <w:rPr>
          <w:rFonts w:hint="eastAsia" w:hAnsi="宋体"/>
          <w:b/>
          <w:bCs/>
          <w:szCs w:val="28"/>
        </w:rPr>
        <w:t xml:space="preserve">    七、社会影响风险</w:t>
      </w:r>
    </w:p>
    <w:p>
      <w:pPr>
        <w:pStyle w:val="27"/>
        <w:spacing w:before="0" w:beforeAutospacing="0" w:after="0" w:afterAutospacing="0" w:line="360" w:lineRule="auto"/>
        <w:ind w:firstLineChars="200"/>
        <w:jc w:val="both"/>
        <w:rPr>
          <w:rFonts w:ascii="宋体" w:hAnsi="宋体"/>
          <w:color w:val="auto"/>
          <w:sz w:val="24"/>
          <w:szCs w:val="28"/>
        </w:rPr>
      </w:pPr>
      <w:r>
        <w:rPr>
          <w:rFonts w:hint="eastAsia" w:ascii="宋体" w:hAnsi="宋体"/>
          <w:color w:val="auto"/>
          <w:sz w:val="24"/>
          <w:szCs w:val="28"/>
        </w:rPr>
        <w:t>做好项目工程建设必要性的宣传工作，积极、及时地按国家和地方政府的政策规定做好项目的前期工作，使当地社会与公务员能理解、支持和配合本项目的规划和建设。</w:t>
      </w:r>
    </w:p>
    <w:p>
      <w:pPr>
        <w:spacing w:line="360" w:lineRule="auto"/>
        <w:rPr>
          <w:rFonts w:ascii="宋体" w:hAnsi="宋体"/>
          <w:b/>
          <w:sz w:val="24"/>
          <w:szCs w:val="28"/>
        </w:rPr>
      </w:pPr>
      <w:r>
        <w:rPr>
          <w:rFonts w:hint="eastAsia" w:ascii="宋体" w:hAnsi="宋体"/>
          <w:b/>
          <w:sz w:val="24"/>
          <w:szCs w:val="28"/>
        </w:rPr>
        <w:t xml:space="preserve">    八、安全风险</w:t>
      </w:r>
    </w:p>
    <w:p>
      <w:pPr>
        <w:spacing w:line="360" w:lineRule="auto"/>
        <w:ind w:firstLine="493"/>
        <w:rPr>
          <w:rFonts w:ascii="宋体" w:hAnsi="宋体"/>
          <w:sz w:val="24"/>
          <w:szCs w:val="28"/>
        </w:rPr>
      </w:pPr>
      <w:r>
        <w:rPr>
          <w:rFonts w:hint="eastAsia" w:ascii="宋体" w:hAnsi="宋体"/>
          <w:sz w:val="24"/>
          <w:szCs w:val="28"/>
        </w:rPr>
        <w:t>加强安全预评价、安全验收与评价、安全现状调查与综合评价、专项安全调查与评价等制度建设，密切安全生产监督管理部门联系，自觉接受安全生产监督管理部门管理与指导，降低项目安全风险。</w:t>
      </w:r>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71" w:name="_Toc498870127"/>
      <w:bookmarkStart w:id="172" w:name="_Toc509584574"/>
      <w:bookmarkStart w:id="173" w:name="_Toc509586093"/>
      <w:bookmarkStart w:id="174" w:name="_Toc515980450"/>
      <w:r>
        <w:rPr>
          <w:rFonts w:hint="eastAsia" w:ascii="宋体" w:hAnsi="宋体"/>
          <w:bCs w:val="0"/>
          <w:kern w:val="2"/>
          <w:sz w:val="36"/>
        </w:rPr>
        <w:t>第十八章  结论与建议</w:t>
      </w:r>
      <w:bookmarkEnd w:id="171"/>
      <w:bookmarkEnd w:id="172"/>
      <w:bookmarkEnd w:id="173"/>
      <w:bookmarkEnd w:id="174"/>
    </w:p>
    <w:p>
      <w:pPr>
        <w:spacing w:line="360" w:lineRule="auto"/>
        <w:ind w:firstLine="480" w:firstLineChars="200"/>
        <w:rPr>
          <w:rFonts w:ascii="宋体" w:hAnsi="宋体"/>
          <w:color w:val="auto"/>
          <w:sz w:val="24"/>
          <w:highlight w:val="none"/>
          <w:shd w:val="clear" w:color="auto" w:fill="auto"/>
        </w:rPr>
      </w:pPr>
      <w:r>
        <w:rPr>
          <w:rFonts w:hint="eastAsia" w:ascii="宋体" w:hAnsi="宋体"/>
          <w:color w:val="auto"/>
          <w:sz w:val="24"/>
          <w:highlight w:val="none"/>
          <w:shd w:val="clear" w:color="auto" w:fill="auto"/>
        </w:rPr>
        <w:t>知识是人类社会发展的原动力，而教育是人类获得知识的本源。当今社会是一个知识经济型社会，知识和拥有知识的人才是未来经济增长最宝贵的战略资源，教育与科教已经成为经济和社会发展的引擎。</w:t>
      </w:r>
    </w:p>
    <w:p>
      <w:pPr>
        <w:spacing w:line="360" w:lineRule="auto"/>
        <w:ind w:firstLine="480" w:firstLineChars="200"/>
        <w:rPr>
          <w:rFonts w:ascii="宋体" w:hAnsi="宋体"/>
          <w:color w:val="auto"/>
          <w:sz w:val="24"/>
          <w:highlight w:val="none"/>
          <w:shd w:val="clear" w:color="auto" w:fill="auto"/>
        </w:rPr>
      </w:pPr>
      <w:r>
        <w:rPr>
          <w:rFonts w:hint="eastAsia" w:ascii="宋体" w:hAnsi="宋体"/>
          <w:color w:val="auto"/>
          <w:sz w:val="24"/>
          <w:highlight w:val="none"/>
          <w:shd w:val="clear" w:color="auto" w:fill="auto"/>
        </w:rPr>
        <w:t>初级中学教育是基础教育的重要组成部分，初级中学的建设是珠海教育事业发展的一个难得的契机。办好初级中学教育，对提高珠海人口素质、缓解珠海本地人才的短缺起到不可忽视的作用。该项目的建设为此提供了物质条件。</w:t>
      </w:r>
    </w:p>
    <w:p>
      <w:pPr>
        <w:spacing w:line="360" w:lineRule="auto"/>
        <w:ind w:firstLine="480" w:firstLineChars="200"/>
        <w:rPr>
          <w:rFonts w:ascii="宋体" w:hAnsi="宋体"/>
          <w:color w:val="auto"/>
          <w:sz w:val="24"/>
          <w:szCs w:val="28"/>
          <w:highlight w:val="none"/>
          <w:shd w:val="clear" w:color="auto" w:fill="auto"/>
        </w:rPr>
      </w:pPr>
      <w:r>
        <w:rPr>
          <w:rFonts w:hint="eastAsia" w:ascii="宋体" w:hAnsi="宋体"/>
          <w:color w:val="auto"/>
          <w:sz w:val="24"/>
          <w:highlight w:val="none"/>
          <w:shd w:val="clear" w:color="auto" w:fill="auto"/>
        </w:rPr>
        <w:t>随着珠海经济社会的快速发展，居住人数逐年增多，中小学适龄学生人数以每年 2-3 个班的速度增长。随着国家二胎政策的开放，该片区学位紧张的情况势必加剧。为进一步改善学校办学条件，增加学位数量，满足平沙镇人民群众逐年提高的学位需求，结合平沙镇学校学位的实际情况，将珠海汇华实验学校建设纳入近三年教育建设计划。该项目按计划建成投入使用后，班数将有 36 个教学班+6个活动教室，可以较好地解决目前平沙区域学位短缺的问题。</w:t>
      </w:r>
    </w:p>
    <w:p>
      <w:pPr>
        <w:spacing w:line="360" w:lineRule="auto"/>
        <w:ind w:firstLine="480" w:firstLineChars="200"/>
        <w:rPr>
          <w:rFonts w:hint="eastAsia" w:ascii="宋体" w:hAnsi="宋体"/>
          <w:color w:val="auto"/>
          <w:sz w:val="24"/>
          <w:highlight w:val="none"/>
          <w:shd w:val="clear" w:color="auto" w:fill="auto"/>
        </w:rPr>
      </w:pPr>
      <w:r>
        <w:rPr>
          <w:rFonts w:hint="eastAsia" w:ascii="宋体" w:hAnsi="宋体"/>
          <w:color w:val="auto"/>
          <w:sz w:val="24"/>
          <w:highlight w:val="none"/>
          <w:shd w:val="clear" w:color="auto" w:fill="auto"/>
        </w:rPr>
        <w:t>近年来，高栏港区大力实施“科教兴区”、“人才强区”战略，牢固坚持“教育优先发展”方针，把“办好人民满意的高栏港教育”作为不懈追求，从2009-2014年，先后投入12.2亿元，强势推进教育现代化建设，引领各类教育在“均衡、优质、协调、特色、跨越”的轨道上快速发展。</w:t>
      </w:r>
      <w:r>
        <w:rPr>
          <w:rFonts w:hint="eastAsia" w:asciiTheme="minorEastAsia" w:hAnsiTheme="minorEastAsia" w:eastAsiaTheme="minorEastAsia"/>
          <w:color w:val="auto"/>
          <w:sz w:val="24"/>
          <w:highlight w:val="none"/>
          <w:shd w:val="clear" w:color="auto" w:fill="auto"/>
        </w:rPr>
        <w:t>近年生源逐年增多，</w:t>
      </w:r>
      <w:r>
        <w:rPr>
          <w:rFonts w:hint="eastAsia" w:ascii="宋体" w:hAnsi="宋体"/>
          <w:color w:val="auto"/>
          <w:sz w:val="24"/>
          <w:highlight w:val="none"/>
          <w:shd w:val="clear" w:color="auto" w:fill="auto"/>
        </w:rPr>
        <w:t>《珠海市中长期教育改革和发展纲要（2010-2020 年））中提出：“健全城乡一体化教育发展机制。实行全市城乡统一的义务教育学校建设标准、教职员编制标准、教职员工资标准和公用经费标准，以满足常住人口子女就近入学为目标，合理规划义务教育学校建设，实行教师配置、经费拨付、学位分配城乡一体化。” 平沙镇区域内各小区开发已极具规模，人口及外来人口每年增量递增，但在近几年的投入中，在该区域内新建的义务教育阶段学校较少，教育设施的配套明显滞后于城市发展步伐。现有义务教育阶段学校的办学规模已不能适应该区域学生就学的需要，都出现了班额过大、学位紧缺等种种问题，学生上学难。因此，项目建设是满足常住人口子女就近入学为目标，落实合理规划义务教育学校建设，合理配置教育资源，化解班级学生人数超额矛盾的需要。</w:t>
      </w:r>
    </w:p>
    <w:p>
      <w:pPr>
        <w:adjustRightInd w:val="0"/>
        <w:snapToGrid w:val="0"/>
        <w:spacing w:line="520" w:lineRule="exact"/>
        <w:ind w:firstLine="480" w:firstLineChars="200"/>
        <w:rPr>
          <w:rFonts w:ascii="新宋体" w:hAnsi="新宋体" w:eastAsia="新宋体"/>
          <w:sz w:val="24"/>
        </w:rPr>
      </w:pPr>
      <w:r>
        <w:rPr>
          <w:rFonts w:hint="eastAsia" w:ascii="宋体" w:hAnsi="宋体"/>
          <w:sz w:val="24"/>
        </w:rPr>
        <w:t>本项目</w:t>
      </w:r>
      <w:r>
        <w:rPr>
          <w:rFonts w:hint="eastAsia" w:ascii="宋体" w:hAnsi="宋体"/>
          <w:sz w:val="24"/>
          <w:szCs w:val="28"/>
        </w:rPr>
        <w:t>珠海</w:t>
      </w:r>
      <w:r>
        <w:rPr>
          <w:rFonts w:hint="eastAsia" w:ascii="宋体" w:hAnsi="宋体"/>
          <w:sz w:val="24"/>
        </w:rPr>
        <w:t>汇华实验学校的建设，是</w:t>
      </w:r>
      <w:r>
        <w:rPr>
          <w:rFonts w:hint="eastAsia" w:ascii="宋体" w:hAnsi="宋体"/>
          <w:sz w:val="24"/>
          <w:szCs w:val="28"/>
        </w:rPr>
        <w:t>珠海市中长期教育改革和发展规划的需要，</w:t>
      </w:r>
      <w:r>
        <w:rPr>
          <w:rFonts w:hint="eastAsia" w:ascii="宋体" w:hAnsi="宋体"/>
          <w:sz w:val="24"/>
        </w:rPr>
        <w:t>是促进高栏港区义务教育事业的健康发展的客观要求。项目建设具有明显的社会效益和城市效益，</w:t>
      </w:r>
      <w:r>
        <w:rPr>
          <w:rFonts w:hint="eastAsia" w:ascii="新宋体" w:hAnsi="新宋体" w:eastAsia="新宋体"/>
          <w:sz w:val="24"/>
        </w:rPr>
        <w:t>建议有关部门给予批准立项。</w:t>
      </w:r>
    </w:p>
    <w:p>
      <w:pPr>
        <w:pStyle w:val="3"/>
      </w:pPr>
      <w:bookmarkStart w:id="175" w:name="_Toc515980451"/>
      <w:r>
        <w:rPr>
          <w:rFonts w:hint="eastAsia"/>
        </w:rPr>
        <w:t>18.1 结论</w:t>
      </w:r>
      <w:bookmarkEnd w:id="175"/>
    </w:p>
    <w:p>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sz w:val="24"/>
          <w:szCs w:val="28"/>
        </w:rPr>
        <w:t>珠海</w:t>
      </w:r>
      <w:r>
        <w:rPr>
          <w:rFonts w:hint="eastAsia" w:ascii="宋体" w:hAnsi="宋体"/>
          <w:color w:val="000000"/>
          <w:sz w:val="24"/>
        </w:rPr>
        <w:t>汇华实验学校新建工程建设选址合理，符合平沙新城的总体发展规划要求。</w:t>
      </w:r>
    </w:p>
    <w:p>
      <w:pPr>
        <w:spacing w:line="360" w:lineRule="auto"/>
        <w:ind w:firstLine="480" w:firstLineChars="200"/>
        <w:rPr>
          <w:rFonts w:hint="eastAsia" w:ascii="宋体" w:hAnsi="宋体"/>
          <w:color w:val="000000"/>
          <w:sz w:val="24"/>
        </w:rPr>
      </w:pPr>
      <w:r>
        <w:rPr>
          <w:rFonts w:hint="eastAsia" w:ascii="宋体" w:hAnsi="宋体"/>
          <w:color w:val="000000"/>
          <w:sz w:val="24"/>
        </w:rPr>
        <w:t>2、该项目建设符合《广东省义务教育标准化学校标准》的要求，项目设计方案合理，技术先进，结构安全可靠，实施计划科学，项目的节能环保，安全，消防措施得力。</w:t>
      </w:r>
    </w:p>
    <w:p>
      <w:pPr>
        <w:spacing w:line="360" w:lineRule="auto"/>
        <w:ind w:firstLine="480" w:firstLineChars="200"/>
        <w:rPr>
          <w:rFonts w:hint="eastAsia" w:ascii="宋体" w:hAnsi="宋体"/>
          <w:color w:val="000000"/>
          <w:sz w:val="24"/>
        </w:rPr>
      </w:pPr>
      <w:r>
        <w:rPr>
          <w:rFonts w:hint="eastAsia" w:ascii="宋体" w:hAnsi="宋体"/>
          <w:color w:val="000000"/>
          <w:sz w:val="24"/>
        </w:rPr>
        <w:t>3、项目建成后，</w:t>
      </w:r>
      <w:r>
        <w:rPr>
          <w:rFonts w:hint="eastAsia" w:ascii="宋体" w:hAnsi="宋体"/>
          <w:color w:val="auto"/>
          <w:sz w:val="24"/>
        </w:rPr>
        <w:t>珠海汇华实验学校</w:t>
      </w:r>
      <w:r>
        <w:rPr>
          <w:rFonts w:hint="eastAsia" w:ascii="宋体" w:hAnsi="宋体"/>
          <w:color w:val="000000"/>
          <w:sz w:val="24"/>
        </w:rPr>
        <w:t>将解决我市平沙新城中小学学位紧张问题。</w:t>
      </w:r>
    </w:p>
    <w:p>
      <w:pPr>
        <w:spacing w:line="360" w:lineRule="auto"/>
        <w:ind w:firstLine="480" w:firstLineChars="200"/>
        <w:rPr>
          <w:rFonts w:hint="eastAsia" w:ascii="宋体" w:hAnsi="宋体"/>
          <w:color w:val="000000"/>
          <w:sz w:val="24"/>
        </w:rPr>
      </w:pPr>
      <w:r>
        <w:rPr>
          <w:rFonts w:hint="eastAsia" w:ascii="宋体" w:hAnsi="宋体"/>
          <w:color w:val="000000"/>
          <w:sz w:val="24"/>
        </w:rPr>
        <w:t>4、本报告从项目的背景、项目建设的条件、建设规模和建设内容、环境保护与节能、劳动安全与消防、项目投资额、实施进度安排、经济效益和社会效益的评价，论证了</w:t>
      </w:r>
      <w:r>
        <w:rPr>
          <w:rFonts w:hint="eastAsia" w:ascii="宋体" w:hAnsi="宋体"/>
          <w:sz w:val="24"/>
          <w:szCs w:val="28"/>
        </w:rPr>
        <w:t>珠海</w:t>
      </w:r>
      <w:r>
        <w:rPr>
          <w:rFonts w:hint="eastAsia" w:ascii="宋体" w:hAnsi="宋体"/>
          <w:color w:val="000000"/>
          <w:sz w:val="24"/>
        </w:rPr>
        <w:t>汇华实验学校新建工程的建设十分必要和迫切。</w:t>
      </w:r>
    </w:p>
    <w:p>
      <w:pPr>
        <w:pStyle w:val="3"/>
      </w:pPr>
      <w:bookmarkStart w:id="176" w:name="_Toc515980452"/>
      <w:r>
        <w:rPr>
          <w:rFonts w:hint="eastAsia"/>
        </w:rPr>
        <w:t>18.2 建议</w:t>
      </w:r>
      <w:bookmarkEnd w:id="176"/>
    </w:p>
    <w:p>
      <w:pPr>
        <w:spacing w:line="360" w:lineRule="auto"/>
        <w:ind w:firstLine="480" w:firstLineChars="200"/>
        <w:rPr>
          <w:rFonts w:hint="eastAsia" w:ascii="宋体" w:hAnsi="宋体"/>
          <w:color w:val="000000"/>
          <w:sz w:val="24"/>
        </w:rPr>
      </w:pPr>
      <w:r>
        <w:rPr>
          <w:rFonts w:hint="eastAsia" w:ascii="宋体" w:hAnsi="宋体"/>
          <w:color w:val="000000"/>
          <w:sz w:val="24"/>
        </w:rPr>
        <w:t>在工程建设中应多听取有关专家的意见和建议，有关论证、设计、施工要紧密配合，对于建设过程中出现的问题，应用科学的方法进行分析、比较、论证。在设计和施工中，吸取周边其他项目的建设经验，采用合理、可行、有效的技术手段，确保项目的顺利推进。</w:t>
      </w:r>
    </w:p>
    <w:p>
      <w:pPr>
        <w:spacing w:line="360" w:lineRule="auto"/>
        <w:ind w:firstLine="480" w:firstLineChars="200"/>
        <w:rPr>
          <w:rFonts w:hint="eastAsia" w:ascii="宋体" w:hAnsi="宋体"/>
          <w:color w:val="000000"/>
          <w:sz w:val="24"/>
        </w:rPr>
      </w:pPr>
      <w:r>
        <w:rPr>
          <w:rFonts w:hint="eastAsia" w:ascii="宋体" w:hAnsi="宋体"/>
          <w:color w:val="000000"/>
          <w:sz w:val="24"/>
        </w:rPr>
        <w:t>项目建设在前期策划、招投标、设计、施工、竣工验收等环节均应加强成本控制，在保证工程质量的前提下，合理科学的控制成本，努力降低造价，确保工程顺利运营。</w:t>
      </w:r>
    </w:p>
    <w:p>
      <w:pPr>
        <w:spacing w:line="360" w:lineRule="auto"/>
        <w:ind w:firstLine="480" w:firstLineChars="200"/>
        <w:rPr>
          <w:rFonts w:hint="eastAsia" w:ascii="宋体" w:hAnsi="宋体"/>
          <w:color w:val="000000"/>
          <w:sz w:val="24"/>
        </w:rPr>
      </w:pPr>
      <w:r>
        <w:rPr>
          <w:rFonts w:hint="eastAsia" w:ascii="宋体" w:hAnsi="宋体"/>
          <w:color w:val="000000"/>
          <w:sz w:val="24"/>
        </w:rPr>
        <w:t>为解决平沙新城中小学学位紧张问题，</w:t>
      </w:r>
      <w:r>
        <w:rPr>
          <w:rFonts w:hint="eastAsia" w:ascii="宋体" w:hAnsi="宋体"/>
          <w:sz w:val="24"/>
          <w:szCs w:val="28"/>
        </w:rPr>
        <w:t>珠海</w:t>
      </w:r>
      <w:r>
        <w:rPr>
          <w:rFonts w:hint="eastAsia" w:ascii="宋体" w:hAnsi="宋体"/>
          <w:color w:val="000000"/>
          <w:sz w:val="24"/>
        </w:rPr>
        <w:t>汇华实验学校新建工程项目的建设须尽快落实。任务重，时间紧，项目建设各环节涉及到的有关部门需通力合作，以确保项目顺利实施并按期投入使用。</w:t>
      </w:r>
    </w:p>
    <w:p>
      <w:pPr>
        <w:rPr>
          <w:rFonts w:hint="eastAsia" w:ascii="宋体" w:hAnsi="宋体"/>
          <w:color w:val="000000"/>
          <w:sz w:val="24"/>
        </w:rPr>
      </w:pPr>
    </w:p>
    <w:p>
      <w:pPr>
        <w:rPr>
          <w:rFonts w:hint="eastAsia" w:ascii="宋体" w:hAnsi="宋体"/>
          <w:color w:val="000000"/>
          <w:sz w:val="24"/>
        </w:rPr>
      </w:pPr>
    </w:p>
    <w:p/>
    <w:p>
      <w:pPr>
        <w:pStyle w:val="2"/>
        <w:keepNext w:val="0"/>
        <w:keepLines w:val="0"/>
        <w:autoSpaceDE w:val="0"/>
        <w:autoSpaceDN w:val="0"/>
        <w:adjustRightInd w:val="0"/>
        <w:spacing w:before="360" w:after="360" w:line="240" w:lineRule="atLeast"/>
        <w:jc w:val="center"/>
        <w:rPr>
          <w:rFonts w:ascii="宋体" w:hAnsi="宋体"/>
          <w:bCs w:val="0"/>
          <w:kern w:val="2"/>
          <w:sz w:val="36"/>
        </w:rPr>
      </w:pPr>
      <w:bookmarkStart w:id="177" w:name="_Toc498870128"/>
      <w:bookmarkStart w:id="178" w:name="_Toc509584575"/>
      <w:bookmarkStart w:id="179" w:name="_Toc509586094"/>
      <w:bookmarkStart w:id="180" w:name="_Toc515980453"/>
      <w:r>
        <w:rPr>
          <w:rFonts w:hint="eastAsia" w:ascii="宋体" w:hAnsi="宋体"/>
          <w:bCs w:val="0"/>
          <w:kern w:val="2"/>
          <w:sz w:val="36"/>
        </w:rPr>
        <w:t>第十九章  附件</w:t>
      </w:r>
      <w:bookmarkEnd w:id="177"/>
      <w:bookmarkEnd w:id="178"/>
      <w:bookmarkEnd w:id="179"/>
      <w:bookmarkEnd w:id="180"/>
    </w:p>
    <w:p>
      <w:pPr>
        <w:numPr>
          <w:ilvl w:val="0"/>
          <w:numId w:val="3"/>
        </w:numPr>
        <w:spacing w:line="360" w:lineRule="auto"/>
        <w:rPr>
          <w:caps/>
          <w:sz w:val="24"/>
        </w:rPr>
      </w:pPr>
      <w:r>
        <w:rPr>
          <w:rFonts w:hint="eastAsia" w:ascii="宋体" w:hAnsi="宋体"/>
          <w:sz w:val="24"/>
          <w:szCs w:val="28"/>
        </w:rPr>
        <w:t>珠海</w:t>
      </w:r>
      <w:r>
        <w:rPr>
          <w:rFonts w:hint="eastAsia"/>
          <w:caps/>
          <w:sz w:val="24"/>
        </w:rPr>
        <w:t>汇华实验学校用地红线图</w:t>
      </w:r>
    </w:p>
    <w:p>
      <w:pPr>
        <w:numPr>
          <w:ilvl w:val="0"/>
          <w:numId w:val="3"/>
        </w:numPr>
        <w:spacing w:line="360" w:lineRule="auto"/>
        <w:rPr>
          <w:caps/>
          <w:sz w:val="24"/>
        </w:rPr>
      </w:pPr>
      <w:r>
        <w:rPr>
          <w:rFonts w:hint="eastAsia"/>
          <w:caps/>
          <w:sz w:val="24"/>
        </w:rPr>
        <w:t>高栏港经济区2018年政府投资项目计划表（储备项目）</w:t>
      </w:r>
    </w:p>
    <w:p>
      <w:pPr>
        <w:spacing w:line="360" w:lineRule="auto"/>
        <w:rPr>
          <w:rFonts w:ascii="宋体" w:hAnsi="宋体"/>
          <w:sz w:val="24"/>
        </w:rPr>
      </w:pPr>
      <w:r>
        <w:rPr>
          <w:rFonts w:hint="eastAsia" w:ascii="宋体" w:hAnsi="宋体"/>
          <w:sz w:val="24"/>
        </w:rPr>
        <w:t>3、关于同意筹建珠海汇华实验学校的批复</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caps/>
          <w:sz w:val="24"/>
        </w:rPr>
        <w:sectPr>
          <w:footerReference r:id="rId3" w:type="default"/>
          <w:pgSz w:w="11906" w:h="16838"/>
          <w:pgMar w:top="1474" w:right="1701" w:bottom="1440" w:left="1177" w:header="851" w:footer="992" w:gutter="0"/>
          <w:cols w:space="720" w:num="1"/>
          <w:docGrid w:type="lines" w:linePitch="312" w:charSpace="0"/>
        </w:sectPr>
      </w:pPr>
    </w:p>
    <w:p>
      <w:pPr>
        <w:tabs>
          <w:tab w:val="left" w:pos="7425"/>
        </w:tabs>
        <w:spacing w:line="0" w:lineRule="atLeast"/>
        <w:jc w:val="center"/>
        <w:rPr>
          <w:caps/>
          <w:sz w:val="24"/>
        </w:rPr>
      </w:pPr>
      <w:r>
        <w:rPr>
          <w:caps/>
          <w:sz w:val="24"/>
        </w:rPr>
        <w:drawing>
          <wp:inline distT="0" distB="0" distL="0" distR="0">
            <wp:extent cx="8863330" cy="6278245"/>
            <wp:effectExtent l="1905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noChangeArrowheads="1"/>
                    </pic:cNvPicPr>
                  </pic:nvPicPr>
                  <pic:blipFill>
                    <a:blip r:embed="rId26"/>
                    <a:srcRect/>
                    <a:stretch>
                      <a:fillRect/>
                    </a:stretch>
                  </pic:blipFill>
                  <pic:spPr>
                    <a:xfrm>
                      <a:off x="0" y="0"/>
                      <a:ext cx="8863330" cy="6278516"/>
                    </a:xfrm>
                    <a:prstGeom prst="rect">
                      <a:avLst/>
                    </a:prstGeom>
                    <a:noFill/>
                    <a:ln w="9525">
                      <a:noFill/>
                      <a:miter lim="800000"/>
                      <a:headEnd/>
                      <a:tailEnd/>
                    </a:ln>
                  </pic:spPr>
                </pic:pic>
              </a:graphicData>
            </a:graphic>
          </wp:inline>
        </w:drawing>
      </w:r>
    </w:p>
    <w:p>
      <w:pPr>
        <w:tabs>
          <w:tab w:val="left" w:pos="7425"/>
        </w:tabs>
        <w:spacing w:line="0" w:lineRule="atLeast"/>
        <w:jc w:val="center"/>
        <w:rPr>
          <w:caps/>
          <w:sz w:val="24"/>
        </w:rPr>
        <w:sectPr>
          <w:pgSz w:w="16838" w:h="11906" w:orient="landscape"/>
          <w:pgMar w:top="1800" w:right="1440" w:bottom="1800" w:left="1440" w:header="851" w:footer="992" w:gutter="0"/>
          <w:cols w:space="425" w:num="1"/>
          <w:docGrid w:type="lines" w:linePitch="312" w:charSpace="0"/>
        </w:sectPr>
      </w:pPr>
      <w:r>
        <w:rPr>
          <w:caps/>
          <w:sz w:val="24"/>
        </w:rPr>
        <w:drawing>
          <wp:inline distT="0" distB="0" distL="0" distR="0">
            <wp:extent cx="8863330" cy="4949190"/>
            <wp:effectExtent l="19050" t="0" r="0" b="0"/>
            <wp:docPr id="7" name="图片 29" descr="C:\Users\Administrator\Desktop\08-平沙汇华实验学校\08-平沙汇华实验学校\项目文档\微信图片_2018040916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C:\Users\Administrator\Desktop\08-平沙汇华实验学校\08-平沙汇华实验学校\项目文档\微信图片_20180409160843.jpg"/>
                    <pic:cNvPicPr>
                      <a:picLocks noChangeAspect="1" noChangeArrowheads="1"/>
                    </pic:cNvPicPr>
                  </pic:nvPicPr>
                  <pic:blipFill>
                    <a:blip r:embed="rId27"/>
                    <a:srcRect/>
                    <a:stretch>
                      <a:fillRect/>
                    </a:stretch>
                  </pic:blipFill>
                  <pic:spPr>
                    <a:xfrm>
                      <a:off x="0" y="0"/>
                      <a:ext cx="8863330" cy="4949616"/>
                    </a:xfrm>
                    <a:prstGeom prst="rect">
                      <a:avLst/>
                    </a:prstGeom>
                    <a:noFill/>
                    <a:ln w="9525">
                      <a:noFill/>
                      <a:miter lim="800000"/>
                      <a:headEnd/>
                      <a:tailEnd/>
                    </a:ln>
                  </pic:spPr>
                </pic:pic>
              </a:graphicData>
            </a:graphic>
          </wp:inline>
        </w:drawing>
      </w:r>
    </w:p>
    <w:p>
      <w:pPr>
        <w:tabs>
          <w:tab w:val="left" w:pos="7425"/>
        </w:tabs>
        <w:spacing w:line="0" w:lineRule="atLeast"/>
        <w:jc w:val="center"/>
        <w:rPr>
          <w:caps/>
          <w:sz w:val="24"/>
        </w:rPr>
      </w:pPr>
      <w:r>
        <w:rPr>
          <w:caps/>
          <w:sz w:val="24"/>
        </w:rPr>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6120765" cy="8728075"/>
            <wp:effectExtent l="19050" t="0" r="0" b="0"/>
            <wp:wrapSquare wrapText="bothSides"/>
            <wp:docPr id="11" name="图片 17" descr="C:\Users\ADMINI~1\AppData\Local\Temp\WeChat Files\438899792786562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C:\Users\ADMINI~1\AppData\Local\Temp\WeChat Files\43889979278656275.bmp"/>
                    <pic:cNvPicPr>
                      <a:picLocks noChangeAspect="1" noChangeArrowheads="1"/>
                    </pic:cNvPicPr>
                  </pic:nvPicPr>
                  <pic:blipFill>
                    <a:blip r:embed="rId28" cstate="print"/>
                    <a:srcRect/>
                    <a:stretch>
                      <a:fillRect/>
                    </a:stretch>
                  </pic:blipFill>
                  <pic:spPr>
                    <a:xfrm>
                      <a:off x="0" y="0"/>
                      <a:ext cx="6120493" cy="8728364"/>
                    </a:xfrm>
                    <a:prstGeom prst="rect">
                      <a:avLst/>
                    </a:prstGeom>
                    <a:noFill/>
                    <a:ln w="9525">
                      <a:noFill/>
                      <a:miter lim="800000"/>
                      <a:headEnd/>
                      <a:tailEnd/>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仿宋_GB2312">
    <w:altName w:val="仿宋"/>
    <w:panose1 w:val="00000000000000000000"/>
    <w:charset w:val="86"/>
    <w:family w:val="modern"/>
    <w:pitch w:val="default"/>
    <w:sig w:usb0="00000000" w:usb1="00000000" w:usb2="00000000" w:usb3="00000000" w:csb0="00040000" w:csb1="00000000"/>
  </w:font>
  <w:font w:name="System">
    <w:altName w:val="方正舒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1441"/>
    </w:sdtPr>
    <w:sdtContent>
      <w:p>
        <w:pPr>
          <w:pStyle w:val="11"/>
          <w:jc w:val="center"/>
        </w:pPr>
        <w:r>
          <w:fldChar w:fldCharType="begin"/>
        </w:r>
        <w:r>
          <w:instrText xml:space="preserve"> PAGE   \* MERGEFORMAT </w:instrText>
        </w:r>
        <w:r>
          <w:fldChar w:fldCharType="separate"/>
        </w:r>
        <w:r>
          <w:rPr>
            <w:lang w:val="zh-CN"/>
          </w:rPr>
          <w:t>37</w:t>
        </w:r>
        <w:r>
          <w:rPr>
            <w:lang w:val="zh-CN"/>
          </w:rPr>
          <w:fldChar w:fldCharType="end"/>
        </w:r>
      </w:p>
    </w:sdtContent>
  </w:sdt>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EF3"/>
    <w:multiLevelType w:val="multilevel"/>
    <w:tmpl w:val="00252E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E82A59"/>
    <w:multiLevelType w:val="singleLevel"/>
    <w:tmpl w:val="56E82A59"/>
    <w:lvl w:ilvl="0" w:tentative="0">
      <w:start w:val="1"/>
      <w:numFmt w:val="decimal"/>
      <w:suff w:val="nothing"/>
      <w:lvlText w:val="（%1）"/>
      <w:lvlJc w:val="left"/>
    </w:lvl>
  </w:abstractNum>
  <w:abstractNum w:abstractNumId="2">
    <w:nsid w:val="56ED0CBB"/>
    <w:multiLevelType w:val="singleLevel"/>
    <w:tmpl w:val="56ED0CBB"/>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F57E8"/>
    <w:rsid w:val="00001DD5"/>
    <w:rsid w:val="0001089D"/>
    <w:rsid w:val="000160CD"/>
    <w:rsid w:val="00017D92"/>
    <w:rsid w:val="00024EDF"/>
    <w:rsid w:val="00040ABD"/>
    <w:rsid w:val="0004162E"/>
    <w:rsid w:val="00045994"/>
    <w:rsid w:val="00054810"/>
    <w:rsid w:val="00060479"/>
    <w:rsid w:val="000607F2"/>
    <w:rsid w:val="00071F29"/>
    <w:rsid w:val="000773D2"/>
    <w:rsid w:val="000849C9"/>
    <w:rsid w:val="00090A10"/>
    <w:rsid w:val="00095E30"/>
    <w:rsid w:val="000B4575"/>
    <w:rsid w:val="000C6CEA"/>
    <w:rsid w:val="000E18EC"/>
    <w:rsid w:val="000E492A"/>
    <w:rsid w:val="000E52CA"/>
    <w:rsid w:val="001079C9"/>
    <w:rsid w:val="001141D2"/>
    <w:rsid w:val="0011507A"/>
    <w:rsid w:val="001172CF"/>
    <w:rsid w:val="00123E50"/>
    <w:rsid w:val="00132A46"/>
    <w:rsid w:val="0013412E"/>
    <w:rsid w:val="001348C2"/>
    <w:rsid w:val="001362FF"/>
    <w:rsid w:val="001531ED"/>
    <w:rsid w:val="0018137F"/>
    <w:rsid w:val="0018722A"/>
    <w:rsid w:val="00190E3C"/>
    <w:rsid w:val="001A649A"/>
    <w:rsid w:val="001C0F1A"/>
    <w:rsid w:val="001C3799"/>
    <w:rsid w:val="001D6769"/>
    <w:rsid w:val="001D7729"/>
    <w:rsid w:val="001E35ED"/>
    <w:rsid w:val="001F1A0C"/>
    <w:rsid w:val="001F7162"/>
    <w:rsid w:val="00206A79"/>
    <w:rsid w:val="002202D7"/>
    <w:rsid w:val="002569F2"/>
    <w:rsid w:val="00260B24"/>
    <w:rsid w:val="002634A0"/>
    <w:rsid w:val="002678A3"/>
    <w:rsid w:val="002846C1"/>
    <w:rsid w:val="002A1F88"/>
    <w:rsid w:val="002A57E1"/>
    <w:rsid w:val="002A62CC"/>
    <w:rsid w:val="002C01A2"/>
    <w:rsid w:val="002F64BF"/>
    <w:rsid w:val="003030C2"/>
    <w:rsid w:val="00305990"/>
    <w:rsid w:val="00321C45"/>
    <w:rsid w:val="00322076"/>
    <w:rsid w:val="00324C85"/>
    <w:rsid w:val="00326FF6"/>
    <w:rsid w:val="0033398F"/>
    <w:rsid w:val="003402CA"/>
    <w:rsid w:val="00341861"/>
    <w:rsid w:val="00362E2F"/>
    <w:rsid w:val="00364DDD"/>
    <w:rsid w:val="00376809"/>
    <w:rsid w:val="00391210"/>
    <w:rsid w:val="003970DD"/>
    <w:rsid w:val="003B74C7"/>
    <w:rsid w:val="00402FCE"/>
    <w:rsid w:val="00422766"/>
    <w:rsid w:val="00422850"/>
    <w:rsid w:val="0042522E"/>
    <w:rsid w:val="00435715"/>
    <w:rsid w:val="004357AC"/>
    <w:rsid w:val="004420B2"/>
    <w:rsid w:val="004670F7"/>
    <w:rsid w:val="00472D11"/>
    <w:rsid w:val="00474574"/>
    <w:rsid w:val="0047676B"/>
    <w:rsid w:val="00480EB3"/>
    <w:rsid w:val="004833F8"/>
    <w:rsid w:val="00486EB9"/>
    <w:rsid w:val="0049237C"/>
    <w:rsid w:val="004A5BDF"/>
    <w:rsid w:val="004B4053"/>
    <w:rsid w:val="004C6922"/>
    <w:rsid w:val="004D0C8F"/>
    <w:rsid w:val="0052206A"/>
    <w:rsid w:val="005245AA"/>
    <w:rsid w:val="00541750"/>
    <w:rsid w:val="0054551F"/>
    <w:rsid w:val="00545F8C"/>
    <w:rsid w:val="0055129E"/>
    <w:rsid w:val="0056521A"/>
    <w:rsid w:val="00573B0F"/>
    <w:rsid w:val="005A7A48"/>
    <w:rsid w:val="005C200E"/>
    <w:rsid w:val="005C2452"/>
    <w:rsid w:val="005C2C2D"/>
    <w:rsid w:val="005F1F03"/>
    <w:rsid w:val="005F603C"/>
    <w:rsid w:val="0060460A"/>
    <w:rsid w:val="00610C2A"/>
    <w:rsid w:val="0061498D"/>
    <w:rsid w:val="00637763"/>
    <w:rsid w:val="00642066"/>
    <w:rsid w:val="00656043"/>
    <w:rsid w:val="006818A5"/>
    <w:rsid w:val="00693B55"/>
    <w:rsid w:val="006951C9"/>
    <w:rsid w:val="006A550F"/>
    <w:rsid w:val="006B6BAC"/>
    <w:rsid w:val="006C745E"/>
    <w:rsid w:val="006F3F44"/>
    <w:rsid w:val="007137FF"/>
    <w:rsid w:val="007220C7"/>
    <w:rsid w:val="00730786"/>
    <w:rsid w:val="00733669"/>
    <w:rsid w:val="00734E79"/>
    <w:rsid w:val="0073589A"/>
    <w:rsid w:val="007503F6"/>
    <w:rsid w:val="00750CA0"/>
    <w:rsid w:val="00762F5E"/>
    <w:rsid w:val="0076799C"/>
    <w:rsid w:val="00772D68"/>
    <w:rsid w:val="00776F65"/>
    <w:rsid w:val="00782430"/>
    <w:rsid w:val="00795F8D"/>
    <w:rsid w:val="007A1FC5"/>
    <w:rsid w:val="007B43B4"/>
    <w:rsid w:val="007C6374"/>
    <w:rsid w:val="007C7B8D"/>
    <w:rsid w:val="007D100A"/>
    <w:rsid w:val="007D2091"/>
    <w:rsid w:val="00804159"/>
    <w:rsid w:val="0081300C"/>
    <w:rsid w:val="00813E40"/>
    <w:rsid w:val="0083492E"/>
    <w:rsid w:val="0083541E"/>
    <w:rsid w:val="00836044"/>
    <w:rsid w:val="00846397"/>
    <w:rsid w:val="00846BE9"/>
    <w:rsid w:val="00850A7F"/>
    <w:rsid w:val="00852D4F"/>
    <w:rsid w:val="00872A95"/>
    <w:rsid w:val="008773AD"/>
    <w:rsid w:val="00884E93"/>
    <w:rsid w:val="00893FF2"/>
    <w:rsid w:val="008972C8"/>
    <w:rsid w:val="008B322A"/>
    <w:rsid w:val="008B3C69"/>
    <w:rsid w:val="008C160B"/>
    <w:rsid w:val="008C3CA0"/>
    <w:rsid w:val="008D0557"/>
    <w:rsid w:val="008F0744"/>
    <w:rsid w:val="008F68F7"/>
    <w:rsid w:val="00930714"/>
    <w:rsid w:val="00943D88"/>
    <w:rsid w:val="009464C9"/>
    <w:rsid w:val="009576DB"/>
    <w:rsid w:val="0096242D"/>
    <w:rsid w:val="00965213"/>
    <w:rsid w:val="00970F37"/>
    <w:rsid w:val="0098402C"/>
    <w:rsid w:val="00991654"/>
    <w:rsid w:val="009A01AF"/>
    <w:rsid w:val="009B7AE6"/>
    <w:rsid w:val="009C1EBD"/>
    <w:rsid w:val="009C5BE8"/>
    <w:rsid w:val="009D6215"/>
    <w:rsid w:val="009D66F8"/>
    <w:rsid w:val="009E5F8C"/>
    <w:rsid w:val="009F3BAD"/>
    <w:rsid w:val="009F7BD5"/>
    <w:rsid w:val="00A00212"/>
    <w:rsid w:val="00A0249B"/>
    <w:rsid w:val="00A04922"/>
    <w:rsid w:val="00A12EED"/>
    <w:rsid w:val="00A14233"/>
    <w:rsid w:val="00A2112F"/>
    <w:rsid w:val="00A21D07"/>
    <w:rsid w:val="00A233A5"/>
    <w:rsid w:val="00A26956"/>
    <w:rsid w:val="00A30A44"/>
    <w:rsid w:val="00A36846"/>
    <w:rsid w:val="00A43368"/>
    <w:rsid w:val="00A464E8"/>
    <w:rsid w:val="00A50327"/>
    <w:rsid w:val="00A507DC"/>
    <w:rsid w:val="00A62194"/>
    <w:rsid w:val="00A7123C"/>
    <w:rsid w:val="00A901D5"/>
    <w:rsid w:val="00A96E04"/>
    <w:rsid w:val="00A97A80"/>
    <w:rsid w:val="00AB2A1C"/>
    <w:rsid w:val="00AC1D8E"/>
    <w:rsid w:val="00AE1A92"/>
    <w:rsid w:val="00AF0670"/>
    <w:rsid w:val="00AF618B"/>
    <w:rsid w:val="00AF6E2C"/>
    <w:rsid w:val="00B0720C"/>
    <w:rsid w:val="00B171DA"/>
    <w:rsid w:val="00B22CBB"/>
    <w:rsid w:val="00B32807"/>
    <w:rsid w:val="00B47215"/>
    <w:rsid w:val="00B83CFA"/>
    <w:rsid w:val="00BC348B"/>
    <w:rsid w:val="00BE3E5E"/>
    <w:rsid w:val="00BE5DCC"/>
    <w:rsid w:val="00C02913"/>
    <w:rsid w:val="00C04704"/>
    <w:rsid w:val="00C0561D"/>
    <w:rsid w:val="00C13E43"/>
    <w:rsid w:val="00C2047A"/>
    <w:rsid w:val="00C40580"/>
    <w:rsid w:val="00C77AC0"/>
    <w:rsid w:val="00CA37DA"/>
    <w:rsid w:val="00CA6909"/>
    <w:rsid w:val="00CB1984"/>
    <w:rsid w:val="00CD22E9"/>
    <w:rsid w:val="00CE0071"/>
    <w:rsid w:val="00CF0535"/>
    <w:rsid w:val="00CF225C"/>
    <w:rsid w:val="00D20E64"/>
    <w:rsid w:val="00D377C2"/>
    <w:rsid w:val="00D401B8"/>
    <w:rsid w:val="00D51DBD"/>
    <w:rsid w:val="00D667A0"/>
    <w:rsid w:val="00D67E38"/>
    <w:rsid w:val="00D718C8"/>
    <w:rsid w:val="00D725C5"/>
    <w:rsid w:val="00D73543"/>
    <w:rsid w:val="00D73548"/>
    <w:rsid w:val="00D83A7A"/>
    <w:rsid w:val="00D84C87"/>
    <w:rsid w:val="00D903F1"/>
    <w:rsid w:val="00D94125"/>
    <w:rsid w:val="00D9659C"/>
    <w:rsid w:val="00DA243D"/>
    <w:rsid w:val="00DC5221"/>
    <w:rsid w:val="00DD1364"/>
    <w:rsid w:val="00DD35D8"/>
    <w:rsid w:val="00DD58FB"/>
    <w:rsid w:val="00DE6E6E"/>
    <w:rsid w:val="00DF6F08"/>
    <w:rsid w:val="00E06F85"/>
    <w:rsid w:val="00E23E71"/>
    <w:rsid w:val="00E306FC"/>
    <w:rsid w:val="00E31B22"/>
    <w:rsid w:val="00E3265B"/>
    <w:rsid w:val="00E33BDB"/>
    <w:rsid w:val="00E35502"/>
    <w:rsid w:val="00E3680E"/>
    <w:rsid w:val="00E40815"/>
    <w:rsid w:val="00E50757"/>
    <w:rsid w:val="00E51E6C"/>
    <w:rsid w:val="00E52D5B"/>
    <w:rsid w:val="00E6296A"/>
    <w:rsid w:val="00E700BD"/>
    <w:rsid w:val="00E71BAD"/>
    <w:rsid w:val="00E75E41"/>
    <w:rsid w:val="00E76521"/>
    <w:rsid w:val="00E770B3"/>
    <w:rsid w:val="00E83923"/>
    <w:rsid w:val="00E92539"/>
    <w:rsid w:val="00E96FE9"/>
    <w:rsid w:val="00E97809"/>
    <w:rsid w:val="00EC0325"/>
    <w:rsid w:val="00EC314A"/>
    <w:rsid w:val="00EC43BA"/>
    <w:rsid w:val="00ED2CE1"/>
    <w:rsid w:val="00EF3784"/>
    <w:rsid w:val="00F33B45"/>
    <w:rsid w:val="00F36F0E"/>
    <w:rsid w:val="00F43FC9"/>
    <w:rsid w:val="00F460DD"/>
    <w:rsid w:val="00F471FF"/>
    <w:rsid w:val="00F476E8"/>
    <w:rsid w:val="00F52188"/>
    <w:rsid w:val="00F53D91"/>
    <w:rsid w:val="00F54F42"/>
    <w:rsid w:val="00F76F52"/>
    <w:rsid w:val="00F85378"/>
    <w:rsid w:val="00FA4071"/>
    <w:rsid w:val="00FB11FB"/>
    <w:rsid w:val="00FD32AB"/>
    <w:rsid w:val="00FF443F"/>
    <w:rsid w:val="00FF57E8"/>
    <w:rsid w:val="04A41041"/>
    <w:rsid w:val="0C0A32AC"/>
    <w:rsid w:val="0FB91F91"/>
    <w:rsid w:val="1F45637A"/>
    <w:rsid w:val="2BD0778E"/>
    <w:rsid w:val="2D9D3A3D"/>
    <w:rsid w:val="2E3C27F6"/>
    <w:rsid w:val="41BF2A9F"/>
    <w:rsid w:val="444D2CC5"/>
    <w:rsid w:val="498F34CE"/>
    <w:rsid w:val="520313FA"/>
    <w:rsid w:val="61035864"/>
    <w:rsid w:val="630E632C"/>
    <w:rsid w:val="6EB208B2"/>
    <w:rsid w:val="717E605A"/>
    <w:rsid w:val="746873D4"/>
    <w:rsid w:val="75073CC5"/>
    <w:rsid w:val="767434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allout" idref="#自选图形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7"/>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5">
    <w:name w:val="caption"/>
    <w:basedOn w:val="1"/>
    <w:next w:val="1"/>
    <w:link w:val="61"/>
    <w:qFormat/>
    <w:uiPriority w:val="35"/>
    <w:pPr>
      <w:jc w:val="center"/>
    </w:pPr>
    <w:rPr>
      <w:rFonts w:ascii="Calibri Light" w:hAnsi="Calibri Light" w:eastAsia="黑体" w:cs="黑体"/>
      <w:sz w:val="20"/>
      <w:szCs w:val="20"/>
    </w:rPr>
  </w:style>
  <w:style w:type="paragraph" w:styleId="6">
    <w:name w:val="Body Text"/>
    <w:basedOn w:val="1"/>
    <w:link w:val="25"/>
    <w:qFormat/>
    <w:uiPriority w:val="0"/>
    <w:rPr>
      <w:rFonts w:asciiTheme="minorHAnsi" w:hAnsiTheme="minorHAnsi" w:eastAsiaTheme="minorEastAsia" w:cstheme="minorBidi"/>
      <w:sz w:val="24"/>
    </w:rPr>
  </w:style>
  <w:style w:type="paragraph" w:styleId="7">
    <w:name w:val="Body Text Indent"/>
    <w:basedOn w:val="1"/>
    <w:link w:val="31"/>
    <w:semiHidden/>
    <w:unhideWhenUsed/>
    <w:qFormat/>
    <w:uiPriority w:val="99"/>
    <w:pPr>
      <w:spacing w:after="120"/>
      <w:ind w:left="420" w:leftChars="200"/>
    </w:pPr>
  </w:style>
  <w:style w:type="paragraph" w:styleId="8">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9">
    <w:name w:val="Plain Text"/>
    <w:basedOn w:val="1"/>
    <w:link w:val="66"/>
    <w:unhideWhenUsed/>
    <w:qFormat/>
    <w:uiPriority w:val="99"/>
    <w:pPr>
      <w:spacing w:line="360" w:lineRule="auto"/>
    </w:pPr>
    <w:rPr>
      <w:rFonts w:ascii="宋体" w:hAnsi="Courier New" w:cs="Courier New"/>
      <w:szCs w:val="21"/>
    </w:rPr>
  </w:style>
  <w:style w:type="paragraph" w:styleId="10">
    <w:name w:val="Balloon Text"/>
    <w:basedOn w:val="1"/>
    <w:link w:val="22"/>
    <w:semiHidden/>
    <w:unhideWhenUsed/>
    <w:qFormat/>
    <w:uiPriority w:val="99"/>
    <w:rPr>
      <w:sz w:val="18"/>
      <w:szCs w:val="18"/>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7">
    <w:name w:val="Strong"/>
    <w:basedOn w:val="16"/>
    <w:qFormat/>
    <w:uiPriority w:val="22"/>
    <w:rPr>
      <w:b/>
      <w:bCs/>
    </w:rPr>
  </w:style>
  <w:style w:type="character" w:styleId="18">
    <w:name w:val="Hyperlink"/>
    <w:basedOn w:val="16"/>
    <w:unhideWhenUsed/>
    <w:qFormat/>
    <w:uiPriority w:val="99"/>
    <w:rPr>
      <w:color w:val="0000FF" w:themeColor="hyperlink"/>
      <w:u w:val="single"/>
    </w:rPr>
  </w:style>
  <w:style w:type="table" w:styleId="20">
    <w:name w:val="Table Grid"/>
    <w:basedOn w:val="19"/>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21">
    <w:name w:val="标题 1 Char"/>
    <w:basedOn w:val="16"/>
    <w:link w:val="2"/>
    <w:qFormat/>
    <w:uiPriority w:val="0"/>
    <w:rPr>
      <w:rFonts w:ascii="Times New Roman" w:hAnsi="Times New Roman" w:eastAsia="宋体" w:cs="Times New Roman"/>
      <w:b/>
      <w:bCs/>
      <w:kern w:val="44"/>
      <w:sz w:val="44"/>
      <w:szCs w:val="44"/>
    </w:rPr>
  </w:style>
  <w:style w:type="character" w:customStyle="1" w:styleId="22">
    <w:name w:val="批注框文本 Char"/>
    <w:basedOn w:val="16"/>
    <w:link w:val="10"/>
    <w:semiHidden/>
    <w:qFormat/>
    <w:uiPriority w:val="99"/>
    <w:rPr>
      <w:rFonts w:ascii="Times New Roman" w:hAnsi="Times New Roman" w:eastAsia="宋体" w:cs="Times New Roman"/>
      <w:sz w:val="18"/>
      <w:szCs w:val="18"/>
    </w:rPr>
  </w:style>
  <w:style w:type="paragraph" w:customStyle="1" w:styleId="23">
    <w:name w:val="1.1.1"/>
    <w:basedOn w:val="1"/>
    <w:qFormat/>
    <w:uiPriority w:val="0"/>
    <w:pPr>
      <w:tabs>
        <w:tab w:val="left" w:pos="1112"/>
      </w:tabs>
      <w:autoSpaceDE w:val="0"/>
      <w:autoSpaceDN w:val="0"/>
      <w:adjustRightInd w:val="0"/>
      <w:spacing w:line="440" w:lineRule="exact"/>
      <w:ind w:left="227"/>
      <w:jc w:val="left"/>
    </w:pPr>
    <w:rPr>
      <w:rFonts w:ascii="宋体" w:hAnsi="宋体"/>
      <w:color w:val="0000FF"/>
      <w:kern w:val="0"/>
      <w:sz w:val="24"/>
    </w:rPr>
  </w:style>
  <w:style w:type="character" w:customStyle="1" w:styleId="24">
    <w:name w:val="正文文本 Char"/>
    <w:qFormat/>
    <w:uiPriority w:val="0"/>
    <w:rPr>
      <w:sz w:val="24"/>
      <w:szCs w:val="24"/>
    </w:rPr>
  </w:style>
  <w:style w:type="character" w:customStyle="1" w:styleId="25">
    <w:name w:val="正文文本 Char1"/>
    <w:basedOn w:val="16"/>
    <w:link w:val="6"/>
    <w:semiHidden/>
    <w:qFormat/>
    <w:uiPriority w:val="99"/>
    <w:rPr>
      <w:rFonts w:ascii="Times New Roman" w:hAnsi="Times New Roman" w:eastAsia="宋体" w:cs="Times New Roman"/>
      <w:szCs w:val="24"/>
    </w:rPr>
  </w:style>
  <w:style w:type="paragraph" w:customStyle="1" w:styleId="26">
    <w:name w:val="xl22"/>
    <w:basedOn w:val="1"/>
    <w:qFormat/>
    <w:uiPriority w:val="0"/>
    <w:pPr>
      <w:widowControl/>
      <w:spacing w:before="100" w:beforeAutospacing="1" w:after="100" w:afterAutospacing="1"/>
      <w:jc w:val="center"/>
    </w:pPr>
    <w:rPr>
      <w:rFonts w:ascii="宋体" w:hAnsi="宋体"/>
      <w:kern w:val="0"/>
      <w:sz w:val="24"/>
    </w:rPr>
  </w:style>
  <w:style w:type="paragraph" w:customStyle="1" w:styleId="27">
    <w:name w:val="wtext"/>
    <w:basedOn w:val="1"/>
    <w:qFormat/>
    <w:uiPriority w:val="0"/>
    <w:pPr>
      <w:widowControl/>
      <w:spacing w:before="100" w:beforeAutospacing="1" w:after="100" w:afterAutospacing="1"/>
      <w:ind w:firstLine="480"/>
      <w:jc w:val="left"/>
    </w:pPr>
    <w:rPr>
      <w:color w:val="000000"/>
      <w:kern w:val="0"/>
      <w:sz w:val="22"/>
      <w:szCs w:val="22"/>
    </w:rPr>
  </w:style>
  <w:style w:type="paragraph" w:customStyle="1" w:styleId="28">
    <w:name w:val="纯文本1"/>
    <w:basedOn w:val="1"/>
    <w:qFormat/>
    <w:uiPriority w:val="0"/>
    <w:pPr>
      <w:adjustRightInd w:val="0"/>
      <w:jc w:val="left"/>
      <w:textAlignment w:val="baseline"/>
    </w:pPr>
    <w:rPr>
      <w:rFonts w:ascii="宋体" w:hAnsi="Courier New"/>
      <w:sz w:val="24"/>
      <w:szCs w:val="20"/>
    </w:rPr>
  </w:style>
  <w:style w:type="character" w:customStyle="1" w:styleId="29">
    <w:name w:val="页眉 Char"/>
    <w:basedOn w:val="16"/>
    <w:link w:val="12"/>
    <w:qFormat/>
    <w:uiPriority w:val="99"/>
    <w:rPr>
      <w:rFonts w:ascii="Times New Roman" w:hAnsi="Times New Roman" w:eastAsia="宋体" w:cs="Times New Roman"/>
      <w:sz w:val="18"/>
      <w:szCs w:val="18"/>
    </w:rPr>
  </w:style>
  <w:style w:type="character" w:customStyle="1" w:styleId="30">
    <w:name w:val="页脚 Char"/>
    <w:basedOn w:val="16"/>
    <w:link w:val="11"/>
    <w:qFormat/>
    <w:uiPriority w:val="99"/>
    <w:rPr>
      <w:rFonts w:ascii="Times New Roman" w:hAnsi="Times New Roman" w:eastAsia="宋体" w:cs="Times New Roman"/>
      <w:sz w:val="18"/>
      <w:szCs w:val="18"/>
    </w:rPr>
  </w:style>
  <w:style w:type="character" w:customStyle="1" w:styleId="31">
    <w:name w:val="正文文本缩进 Char"/>
    <w:basedOn w:val="16"/>
    <w:link w:val="7"/>
    <w:semiHidden/>
    <w:qFormat/>
    <w:uiPriority w:val="99"/>
    <w:rPr>
      <w:rFonts w:ascii="Times New Roman" w:hAnsi="Times New Roman" w:eastAsia="宋体" w:cs="Times New Roman"/>
      <w:szCs w:val="24"/>
    </w:rPr>
  </w:style>
  <w:style w:type="paragraph" w:customStyle="1" w:styleId="32">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3">
    <w:name w:val="font51"/>
    <w:basedOn w:val="16"/>
    <w:qFormat/>
    <w:uiPriority w:val="0"/>
    <w:rPr>
      <w:rFonts w:hint="eastAsia" w:ascii="黑体" w:hAnsi="宋体" w:eastAsia="黑体" w:cs="黑体"/>
      <w:b/>
      <w:color w:val="000000"/>
      <w:sz w:val="20"/>
      <w:szCs w:val="20"/>
      <w:u w:val="none"/>
    </w:rPr>
  </w:style>
  <w:style w:type="character" w:customStyle="1" w:styleId="34">
    <w:name w:val="font101"/>
    <w:basedOn w:val="16"/>
    <w:qFormat/>
    <w:uiPriority w:val="0"/>
    <w:rPr>
      <w:rFonts w:hint="eastAsia" w:ascii="黑体" w:hAnsi="宋体" w:eastAsia="黑体" w:cs="黑体"/>
      <w:b/>
      <w:color w:val="000000"/>
      <w:sz w:val="20"/>
      <w:szCs w:val="20"/>
      <w:u w:val="none"/>
      <w:vertAlign w:val="superscript"/>
    </w:rPr>
  </w:style>
  <w:style w:type="character" w:customStyle="1" w:styleId="35">
    <w:name w:val="font141"/>
    <w:basedOn w:val="16"/>
    <w:qFormat/>
    <w:uiPriority w:val="0"/>
    <w:rPr>
      <w:rFonts w:hint="eastAsia" w:ascii="黑体" w:hAnsi="宋体" w:eastAsia="黑体" w:cs="黑体"/>
      <w:color w:val="000000"/>
      <w:sz w:val="20"/>
      <w:szCs w:val="20"/>
      <w:u w:val="none"/>
    </w:rPr>
  </w:style>
  <w:style w:type="character" w:customStyle="1" w:styleId="36">
    <w:name w:val="font11"/>
    <w:basedOn w:val="16"/>
    <w:qFormat/>
    <w:uiPriority w:val="0"/>
    <w:rPr>
      <w:rFonts w:hint="eastAsia" w:ascii="黑体" w:hAnsi="宋体" w:eastAsia="黑体" w:cs="黑体"/>
      <w:color w:val="000000"/>
      <w:sz w:val="20"/>
      <w:szCs w:val="20"/>
      <w:u w:val="none"/>
      <w:vertAlign w:val="superscript"/>
    </w:rPr>
  </w:style>
  <w:style w:type="character" w:customStyle="1" w:styleId="37">
    <w:name w:val="font131"/>
    <w:basedOn w:val="16"/>
    <w:qFormat/>
    <w:uiPriority w:val="0"/>
    <w:rPr>
      <w:rFonts w:hint="eastAsia" w:ascii="宋体" w:hAnsi="宋体" w:eastAsia="宋体" w:cs="宋体"/>
      <w:color w:val="000000"/>
      <w:sz w:val="20"/>
      <w:szCs w:val="20"/>
      <w:u w:val="none"/>
    </w:rPr>
  </w:style>
  <w:style w:type="character" w:customStyle="1" w:styleId="38">
    <w:name w:val="font91"/>
    <w:basedOn w:val="16"/>
    <w:qFormat/>
    <w:uiPriority w:val="0"/>
    <w:rPr>
      <w:rFonts w:hint="eastAsia" w:ascii="宋体" w:hAnsi="宋体" w:eastAsia="宋体" w:cs="宋体"/>
      <w:color w:val="000000"/>
      <w:sz w:val="20"/>
      <w:szCs w:val="20"/>
      <w:u w:val="none"/>
      <w:vertAlign w:val="superscript"/>
    </w:rPr>
  </w:style>
  <w:style w:type="character" w:customStyle="1" w:styleId="39">
    <w:name w:val="font41"/>
    <w:basedOn w:val="16"/>
    <w:qFormat/>
    <w:uiPriority w:val="0"/>
    <w:rPr>
      <w:rFonts w:hint="eastAsia" w:ascii="宋体" w:hAnsi="宋体" w:eastAsia="宋体" w:cs="宋体"/>
      <w:b/>
      <w:color w:val="000000"/>
      <w:sz w:val="20"/>
      <w:szCs w:val="20"/>
      <w:u w:val="none"/>
    </w:rPr>
  </w:style>
  <w:style w:type="character" w:customStyle="1" w:styleId="40">
    <w:name w:val="font01"/>
    <w:basedOn w:val="16"/>
    <w:qFormat/>
    <w:uiPriority w:val="0"/>
    <w:rPr>
      <w:rFonts w:hint="eastAsia" w:ascii="宋体" w:hAnsi="宋体" w:eastAsia="宋体" w:cs="宋体"/>
      <w:b/>
      <w:color w:val="000000"/>
      <w:sz w:val="20"/>
      <w:szCs w:val="20"/>
      <w:u w:val="none"/>
      <w:vertAlign w:val="superscript"/>
    </w:rPr>
  </w:style>
  <w:style w:type="character" w:customStyle="1" w:styleId="41">
    <w:name w:val="font81"/>
    <w:basedOn w:val="16"/>
    <w:qFormat/>
    <w:uiPriority w:val="0"/>
    <w:rPr>
      <w:rFonts w:hint="default" w:ascii="Times New Roman" w:hAnsi="Times New Roman" w:cs="Times New Roman"/>
      <w:color w:val="000000"/>
      <w:sz w:val="18"/>
      <w:szCs w:val="18"/>
      <w:u w:val="none"/>
    </w:rPr>
  </w:style>
  <w:style w:type="character" w:customStyle="1" w:styleId="42">
    <w:name w:val="font71"/>
    <w:basedOn w:val="16"/>
    <w:qFormat/>
    <w:uiPriority w:val="0"/>
    <w:rPr>
      <w:rFonts w:hint="eastAsia" w:ascii="宋体" w:hAnsi="宋体" w:eastAsia="宋体" w:cs="宋体"/>
      <w:color w:val="000000"/>
      <w:sz w:val="18"/>
      <w:szCs w:val="18"/>
      <w:u w:val="none"/>
    </w:rPr>
  </w:style>
  <w:style w:type="character" w:customStyle="1" w:styleId="43">
    <w:name w:val="font151"/>
    <w:basedOn w:val="16"/>
    <w:qFormat/>
    <w:uiPriority w:val="0"/>
    <w:rPr>
      <w:rFonts w:hint="default" w:ascii="Times New Roman" w:hAnsi="Times New Roman" w:cs="Times New Roman"/>
      <w:color w:val="000000"/>
      <w:sz w:val="20"/>
      <w:szCs w:val="20"/>
      <w:u w:val="none"/>
    </w:rPr>
  </w:style>
  <w:style w:type="character" w:customStyle="1" w:styleId="44">
    <w:name w:val="font111"/>
    <w:basedOn w:val="16"/>
    <w:qFormat/>
    <w:uiPriority w:val="0"/>
    <w:rPr>
      <w:rFonts w:hint="eastAsia" w:ascii="黑体" w:hAnsi="宋体" w:eastAsia="黑体" w:cs="黑体"/>
      <w:b/>
      <w:color w:val="000000"/>
      <w:sz w:val="20"/>
      <w:szCs w:val="20"/>
      <w:u w:val="none"/>
      <w:vertAlign w:val="superscript"/>
    </w:rPr>
  </w:style>
  <w:style w:type="character" w:customStyle="1" w:styleId="45">
    <w:name w:val="font31"/>
    <w:basedOn w:val="16"/>
    <w:qFormat/>
    <w:uiPriority w:val="0"/>
    <w:rPr>
      <w:rFonts w:hint="eastAsia" w:ascii="宋体" w:hAnsi="宋体" w:eastAsia="宋体" w:cs="宋体"/>
      <w:b/>
      <w:color w:val="000000"/>
      <w:sz w:val="20"/>
      <w:szCs w:val="20"/>
      <w:u w:val="none"/>
    </w:rPr>
  </w:style>
  <w:style w:type="character" w:customStyle="1" w:styleId="46">
    <w:name w:val="font61"/>
    <w:basedOn w:val="16"/>
    <w:qFormat/>
    <w:uiPriority w:val="0"/>
    <w:rPr>
      <w:rFonts w:hint="eastAsia" w:ascii="黑体" w:hAnsi="宋体" w:eastAsia="黑体" w:cs="黑体"/>
      <w:b/>
      <w:color w:val="000000"/>
      <w:sz w:val="20"/>
      <w:szCs w:val="20"/>
      <w:u w:val="none"/>
    </w:rPr>
  </w:style>
  <w:style w:type="character" w:customStyle="1" w:styleId="47">
    <w:name w:val="font21"/>
    <w:basedOn w:val="16"/>
    <w:qFormat/>
    <w:uiPriority w:val="0"/>
    <w:rPr>
      <w:rFonts w:hint="eastAsia" w:ascii="黑体" w:hAnsi="宋体" w:eastAsia="黑体" w:cs="黑体"/>
      <w:b/>
      <w:color w:val="000000"/>
      <w:sz w:val="20"/>
      <w:szCs w:val="20"/>
      <w:u w:val="none"/>
      <w:vertAlign w:val="superscript"/>
    </w:rPr>
  </w:style>
  <w:style w:type="character" w:customStyle="1" w:styleId="48">
    <w:name w:val="font122"/>
    <w:basedOn w:val="16"/>
    <w:uiPriority w:val="0"/>
    <w:rPr>
      <w:rFonts w:hint="default" w:ascii="Times New Roman" w:hAnsi="Times New Roman" w:cs="Times New Roman"/>
      <w:color w:val="000000"/>
      <w:sz w:val="18"/>
      <w:szCs w:val="18"/>
      <w:u w:val="none"/>
    </w:rPr>
  </w:style>
  <w:style w:type="character" w:customStyle="1" w:styleId="49">
    <w:name w:val="font12"/>
    <w:basedOn w:val="16"/>
    <w:qFormat/>
    <w:uiPriority w:val="0"/>
    <w:rPr>
      <w:rFonts w:hint="eastAsia" w:ascii="宋体" w:hAnsi="宋体" w:eastAsia="宋体" w:cs="宋体"/>
      <w:color w:val="000000"/>
      <w:sz w:val="18"/>
      <w:szCs w:val="18"/>
      <w:u w:val="none"/>
    </w:rPr>
  </w:style>
  <w:style w:type="character" w:customStyle="1" w:styleId="50">
    <w:name w:val="font161"/>
    <w:basedOn w:val="16"/>
    <w:uiPriority w:val="0"/>
    <w:rPr>
      <w:rFonts w:hint="default" w:ascii="Times New Roman" w:hAnsi="Times New Roman" w:cs="Times New Roman"/>
      <w:color w:val="000000"/>
      <w:sz w:val="20"/>
      <w:szCs w:val="20"/>
      <w:u w:val="none"/>
    </w:rPr>
  </w:style>
  <w:style w:type="character" w:customStyle="1" w:styleId="51">
    <w:name w:val="font121"/>
    <w:basedOn w:val="16"/>
    <w:qFormat/>
    <w:uiPriority w:val="0"/>
    <w:rPr>
      <w:rFonts w:hint="eastAsia" w:ascii="黑体" w:hAnsi="宋体" w:eastAsia="黑体" w:cs="黑体"/>
      <w:color w:val="000000"/>
      <w:sz w:val="20"/>
      <w:szCs w:val="20"/>
      <w:u w:val="none"/>
    </w:rPr>
  </w:style>
  <w:style w:type="character" w:customStyle="1" w:styleId="52">
    <w:name w:val="font171"/>
    <w:basedOn w:val="16"/>
    <w:qFormat/>
    <w:uiPriority w:val="0"/>
    <w:rPr>
      <w:rFonts w:hint="eastAsia" w:ascii="黑体" w:hAnsi="宋体" w:eastAsia="黑体" w:cs="黑体"/>
      <w:b/>
      <w:color w:val="000000"/>
      <w:sz w:val="20"/>
      <w:szCs w:val="20"/>
      <w:u w:val="none"/>
    </w:rPr>
  </w:style>
  <w:style w:type="character" w:customStyle="1" w:styleId="53">
    <w:name w:val="font181"/>
    <w:basedOn w:val="16"/>
    <w:uiPriority w:val="0"/>
    <w:rPr>
      <w:rFonts w:hint="default" w:ascii="Times New Roman" w:hAnsi="Times New Roman" w:cs="Times New Roman"/>
      <w:color w:val="000000"/>
      <w:sz w:val="18"/>
      <w:szCs w:val="18"/>
      <w:u w:val="none"/>
    </w:rPr>
  </w:style>
  <w:style w:type="character" w:customStyle="1" w:styleId="54">
    <w:name w:val="font191"/>
    <w:basedOn w:val="16"/>
    <w:qFormat/>
    <w:uiPriority w:val="0"/>
    <w:rPr>
      <w:rFonts w:hint="eastAsia" w:ascii="宋体" w:hAnsi="宋体" w:eastAsia="宋体" w:cs="宋体"/>
      <w:color w:val="000000"/>
      <w:sz w:val="18"/>
      <w:szCs w:val="18"/>
      <w:u w:val="none"/>
    </w:rPr>
  </w:style>
  <w:style w:type="paragraph" w:customStyle="1" w:styleId="5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6">
    <w:name w:val="标题 2 Char"/>
    <w:basedOn w:val="16"/>
    <w:link w:val="3"/>
    <w:uiPriority w:val="9"/>
    <w:rPr>
      <w:rFonts w:asciiTheme="majorHAnsi" w:hAnsiTheme="majorHAnsi" w:eastAsiaTheme="majorEastAsia" w:cstheme="majorBidi"/>
      <w:b/>
      <w:bCs/>
      <w:kern w:val="2"/>
      <w:sz w:val="32"/>
      <w:szCs w:val="32"/>
    </w:rPr>
  </w:style>
  <w:style w:type="character" w:customStyle="1" w:styleId="57">
    <w:name w:val="标题 3 Char"/>
    <w:basedOn w:val="16"/>
    <w:link w:val="4"/>
    <w:semiHidden/>
    <w:uiPriority w:val="9"/>
    <w:rPr>
      <w:b/>
      <w:bCs/>
      <w:kern w:val="2"/>
      <w:sz w:val="32"/>
      <w:szCs w:val="32"/>
    </w:rPr>
  </w:style>
  <w:style w:type="paragraph" w:customStyle="1" w:styleId="58">
    <w:name w:val="样式 行距: 固定值 22 磅"/>
    <w:basedOn w:val="1"/>
    <w:qFormat/>
    <w:uiPriority w:val="0"/>
    <w:pPr>
      <w:spacing w:line="440" w:lineRule="exact"/>
    </w:pPr>
    <w:rPr>
      <w:rFonts w:cs="宋体"/>
      <w:sz w:val="28"/>
      <w:szCs w:val="20"/>
    </w:rPr>
  </w:style>
  <w:style w:type="character" w:customStyle="1" w:styleId="59">
    <w:name w:val="11111111111 Char"/>
    <w:link w:val="60"/>
    <w:qFormat/>
    <w:uiPriority w:val="0"/>
    <w:rPr>
      <w:rFonts w:ascii="宋体" w:hAnsi="宋体" w:cs="Arial"/>
      <w:kern w:val="2"/>
      <w:sz w:val="24"/>
      <w:szCs w:val="22"/>
    </w:rPr>
  </w:style>
  <w:style w:type="paragraph" w:customStyle="1" w:styleId="60">
    <w:name w:val="11111111111"/>
    <w:basedOn w:val="1"/>
    <w:link w:val="59"/>
    <w:qFormat/>
    <w:uiPriority w:val="0"/>
    <w:pPr>
      <w:widowControl/>
      <w:adjustRightInd w:val="0"/>
      <w:snapToGrid w:val="0"/>
      <w:spacing w:beforeLines="50" w:afterLines="50" w:line="360" w:lineRule="auto"/>
      <w:ind w:firstLine="480" w:firstLineChars="200"/>
      <w:jc w:val="left"/>
    </w:pPr>
    <w:rPr>
      <w:rFonts w:ascii="宋体" w:hAnsi="宋体" w:cs="Arial"/>
      <w:sz w:val="24"/>
      <w:szCs w:val="22"/>
    </w:rPr>
  </w:style>
  <w:style w:type="character" w:customStyle="1" w:styleId="61">
    <w:name w:val="题注 Char"/>
    <w:link w:val="5"/>
    <w:qFormat/>
    <w:uiPriority w:val="35"/>
    <w:rPr>
      <w:rFonts w:ascii="Calibri Light" w:hAnsi="Calibri Light" w:eastAsia="黑体" w:cs="黑体"/>
      <w:kern w:val="2"/>
    </w:rPr>
  </w:style>
  <w:style w:type="paragraph" w:customStyle="1" w:styleId="62">
    <w:name w:val="_Style 6"/>
    <w:basedOn w:val="1"/>
    <w:qFormat/>
    <w:uiPriority w:val="34"/>
    <w:pPr>
      <w:ind w:left="720"/>
      <w:contextualSpacing/>
    </w:pPr>
    <w:rPr>
      <w:rFonts w:ascii="Calibri" w:hAnsi="Calibri" w:cs="黑体"/>
      <w:szCs w:val="22"/>
    </w:rPr>
  </w:style>
  <w:style w:type="paragraph" w:customStyle="1" w:styleId="63">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64">
    <w:name w:val="正文体 Char Char"/>
    <w:basedOn w:val="16"/>
    <w:link w:val="65"/>
    <w:uiPriority w:val="0"/>
    <w:rPr>
      <w:rFonts w:cs="宋体"/>
      <w:kern w:val="2"/>
      <w:sz w:val="24"/>
    </w:rPr>
  </w:style>
  <w:style w:type="paragraph" w:customStyle="1" w:styleId="65">
    <w:name w:val="正文体"/>
    <w:basedOn w:val="1"/>
    <w:link w:val="64"/>
    <w:qFormat/>
    <w:uiPriority w:val="0"/>
    <w:pPr>
      <w:spacing w:line="360" w:lineRule="auto"/>
      <w:ind w:firstLine="480" w:firstLineChars="200"/>
    </w:pPr>
    <w:rPr>
      <w:rFonts w:cs="宋体"/>
      <w:sz w:val="24"/>
      <w:szCs w:val="20"/>
    </w:rPr>
  </w:style>
  <w:style w:type="character" w:customStyle="1" w:styleId="66">
    <w:name w:val="纯文本 Char"/>
    <w:basedOn w:val="16"/>
    <w:link w:val="9"/>
    <w:qFormat/>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file:///C:\Users\Administrator\Desktop\08-&#24179;&#27801;&#27719;&#21326;&#23454;&#39564;&#23398;&#26657;\AppData\Roaming\Tencent\Users\1020753951\QQ\WinTemp\RichOle\NFV8X~LZMZST45NK%25257bM%252525%252525G%25257bS.png" TargetMode="Externa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emf"/><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85"/>
    <customShpInfo spid="_x0000_s1084"/>
    <customShpInfo spid="_x0000_s1086"/>
    <customShpInfo spid="_x0000_s1109"/>
    <customShpInfo spid="_x0000_s1108"/>
    <customShpInfo spid="_x0000_s1103"/>
    <customShpInfo spid="_x0000_s1104"/>
    <customShpInfo spid="_x0000_s1105"/>
    <customShpInfo spid="_x0000_s1106"/>
    <customShpInfo spid="_x0000_s1107"/>
    <customShpInfo spid="_x0000_s1080"/>
    <customShpInfo spid="_x0000_s1079"/>
    <customShpInfo spid="_x0000_s1078"/>
    <customShpInfo spid="_x0000_s1073"/>
    <customShpInfo spid="_x0000_s1069"/>
    <customShpInfo spid="_x0000_s1068"/>
    <customShpInfo spid="_x0000_s1058"/>
    <customShpInfo spid="_x0000_s1045"/>
    <customShpInfo spid="_x0000_s1041"/>
    <customShpInfo spid="_x0000_s1040"/>
    <customShpInfo spid="_x0000_s1033"/>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EBC063-FFFD-46FD-8824-306A78B8BDF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100</Pages>
  <Words>9885</Words>
  <Characters>56348</Characters>
  <Lines>469</Lines>
  <Paragraphs>132</Paragraphs>
  <TotalTime>9</TotalTime>
  <ScaleCrop>false</ScaleCrop>
  <LinksUpToDate>false</LinksUpToDate>
  <CharactersWithSpaces>66101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2018-06-05T09:17:00Z</dcterms:created>
  <dc:creator>PC</dc:creator>
  <cp:lastModifiedBy>北极光</cp:lastModifiedBy>
  <cp:lastPrinted>2018-04-03T03:31:00Z</cp:lastPrinted>
  <dcterms:modified xsi:type="dcterms:W3CDTF">2018-06-07T06:43:41Z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